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EF9" w:rsidRDefault="00C65EF9" w:rsidP="00C65EF9">
      <w:pPr>
        <w:pStyle w:val="Heading2"/>
      </w:pPr>
      <w:bookmarkStart w:id="0" w:name="_Toc482359729"/>
      <w:bookmarkStart w:id="1" w:name="_GoBack"/>
      <w:bookmarkEnd w:id="1"/>
      <w:r>
        <w:t>Participatory Safety Mapping Exercise</w:t>
      </w:r>
      <w:bookmarkEnd w:id="0"/>
    </w:p>
    <w:tbl>
      <w:tblPr>
        <w:tblStyle w:val="TableGrid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461"/>
      </w:tblGrid>
      <w:tr w:rsidR="00C65EF9" w:rsidTr="00192DCB">
        <w:tc>
          <w:tcPr>
            <w:tcW w:w="1555" w:type="dxa"/>
            <w:tcBorders>
              <w:bottom w:val="single" w:sz="6" w:space="0" w:color="FFFFFF" w:themeColor="background1"/>
            </w:tcBorders>
            <w:shd w:val="clear" w:color="auto" w:fill="00B0F0"/>
          </w:tcPr>
          <w:p w:rsidR="00C65EF9" w:rsidRPr="00DF7969" w:rsidRDefault="00C65EF9" w:rsidP="00192DCB">
            <w:pPr>
              <w:pStyle w:val="Heading3"/>
              <w:spacing w:before="120" w:after="120"/>
              <w:outlineLvl w:val="2"/>
              <w:rPr>
                <w:rFonts w:ascii="Cambria" w:hAnsi="Cambria"/>
                <w:color w:val="FFFFFF" w:themeColor="background1"/>
              </w:rPr>
            </w:pPr>
            <w:r w:rsidRPr="00DF7969">
              <w:rPr>
                <w:rFonts w:ascii="Cambria" w:hAnsi="Cambria"/>
                <w:color w:val="FFFFFF" w:themeColor="background1"/>
              </w:rPr>
              <w:t>Purpose</w:t>
            </w:r>
          </w:p>
        </w:tc>
        <w:tc>
          <w:tcPr>
            <w:tcW w:w="7461" w:type="dxa"/>
          </w:tcPr>
          <w:p w:rsidR="00C65EF9" w:rsidRDefault="00C65EF9" w:rsidP="00192DCB">
            <w:pPr>
              <w:pStyle w:val="Heading3"/>
              <w:spacing w:before="120" w:after="120"/>
              <w:outlineLvl w:val="2"/>
              <w:rPr>
                <w:rFonts w:ascii="Cambria" w:hAnsi="Cambria"/>
                <w:b w:val="0"/>
                <w:color w:val="auto"/>
              </w:rPr>
            </w:pPr>
            <w:r w:rsidRPr="001A54DD">
              <w:rPr>
                <w:rFonts w:ascii="Cambria" w:hAnsi="Cambria"/>
                <w:b w:val="0"/>
                <w:color w:val="auto"/>
              </w:rPr>
              <w:t xml:space="preserve">To learn from different groups of </w:t>
            </w:r>
            <w:r>
              <w:rPr>
                <w:rFonts w:ascii="Cambria" w:hAnsi="Cambria"/>
                <w:b w:val="0"/>
                <w:color w:val="auto"/>
              </w:rPr>
              <w:t>girls and women</w:t>
            </w:r>
            <w:r w:rsidRPr="001A54DD">
              <w:rPr>
                <w:rFonts w:ascii="Cambria" w:hAnsi="Cambria"/>
                <w:b w:val="0"/>
                <w:color w:val="auto"/>
              </w:rPr>
              <w:t xml:space="preserve"> about</w:t>
            </w:r>
            <w:r>
              <w:rPr>
                <w:rFonts w:ascii="Cambria" w:hAnsi="Cambria"/>
                <w:b w:val="0"/>
                <w:color w:val="auto"/>
              </w:rPr>
              <w:t>:</w:t>
            </w:r>
          </w:p>
          <w:p w:rsidR="00C65EF9" w:rsidRDefault="00C65EF9" w:rsidP="00C65EF9">
            <w:pPr>
              <w:pStyle w:val="Heading3"/>
              <w:numPr>
                <w:ilvl w:val="0"/>
                <w:numId w:val="7"/>
              </w:numPr>
              <w:spacing w:before="120" w:after="120" w:line="240" w:lineRule="auto"/>
              <w:outlineLvl w:val="2"/>
              <w:rPr>
                <w:rFonts w:ascii="Cambria" w:eastAsia="Helvetica-Light" w:hAnsi="Cambria" w:cs="Helvetica-Light"/>
                <w:b w:val="0"/>
                <w:color w:val="auto"/>
                <w:szCs w:val="24"/>
              </w:rPr>
            </w:pPr>
            <w:r>
              <w:rPr>
                <w:rFonts w:ascii="Cambria" w:hAnsi="Cambria"/>
                <w:b w:val="0"/>
                <w:color w:val="auto"/>
              </w:rPr>
              <w:t>T</w:t>
            </w:r>
            <w:r w:rsidRPr="001A54DD">
              <w:rPr>
                <w:rFonts w:ascii="Cambria" w:hAnsi="Cambria"/>
                <w:b w:val="0"/>
                <w:color w:val="auto"/>
              </w:rPr>
              <w:t>heir k</w:t>
            </w:r>
            <w:r w:rsidRPr="001A54DD">
              <w:rPr>
                <w:rFonts w:ascii="Cambria" w:eastAsia="Helvetica-Light" w:hAnsi="Cambria" w:cs="Helvetica-Light"/>
                <w:b w:val="0"/>
                <w:color w:val="auto"/>
                <w:szCs w:val="24"/>
              </w:rPr>
              <w:t xml:space="preserve">ey safety concerns </w:t>
            </w:r>
            <w:r>
              <w:rPr>
                <w:rFonts w:ascii="Cambria" w:eastAsia="Helvetica-Light" w:hAnsi="Cambria" w:cs="Helvetica-Light"/>
                <w:b w:val="0"/>
                <w:color w:val="auto"/>
                <w:szCs w:val="24"/>
              </w:rPr>
              <w:t>in the community;</w:t>
            </w:r>
          </w:p>
          <w:p w:rsidR="00C65EF9" w:rsidRDefault="00C65EF9" w:rsidP="00C65EF9">
            <w:pPr>
              <w:pStyle w:val="Heading3"/>
              <w:numPr>
                <w:ilvl w:val="0"/>
                <w:numId w:val="7"/>
              </w:numPr>
              <w:spacing w:before="120" w:after="120" w:line="240" w:lineRule="auto"/>
              <w:outlineLvl w:val="2"/>
              <w:rPr>
                <w:rFonts w:ascii="Cambria" w:eastAsia="Helvetica-Light" w:hAnsi="Cambria" w:cs="Helvetica-Light"/>
                <w:b w:val="0"/>
                <w:color w:val="auto"/>
                <w:szCs w:val="24"/>
              </w:rPr>
            </w:pPr>
            <w:r>
              <w:rPr>
                <w:rFonts w:ascii="Cambria" w:eastAsia="Helvetica-Light" w:hAnsi="Cambria" w:cs="Helvetica-Light"/>
                <w:b w:val="0"/>
                <w:color w:val="auto"/>
                <w:szCs w:val="24"/>
              </w:rPr>
              <w:t>Lo</w:t>
            </w:r>
            <w:r w:rsidRPr="001A54DD">
              <w:rPr>
                <w:rFonts w:ascii="Cambria" w:eastAsia="Helvetica-Light" w:hAnsi="Cambria" w:cs="Helvetica-Light"/>
                <w:b w:val="0"/>
                <w:color w:val="auto"/>
                <w:szCs w:val="24"/>
              </w:rPr>
              <w:t xml:space="preserve">cations where they feel safe </w:t>
            </w:r>
            <w:r>
              <w:rPr>
                <w:rFonts w:ascii="Cambria" w:eastAsia="Helvetica-Light" w:hAnsi="Cambria" w:cs="Helvetica-Light"/>
                <w:b w:val="0"/>
                <w:color w:val="auto"/>
                <w:szCs w:val="24"/>
              </w:rPr>
              <w:t>and unsafe, and threats that contribute to this; and</w:t>
            </w:r>
          </w:p>
          <w:p w:rsidR="00C65EF9" w:rsidRPr="001A54DD" w:rsidRDefault="00C65EF9" w:rsidP="00C65EF9">
            <w:pPr>
              <w:pStyle w:val="Heading3"/>
              <w:numPr>
                <w:ilvl w:val="0"/>
                <w:numId w:val="7"/>
              </w:numPr>
              <w:spacing w:before="120" w:after="120" w:line="240" w:lineRule="auto"/>
              <w:outlineLvl w:val="2"/>
              <w:rPr>
                <w:rFonts w:ascii="Cambria" w:hAnsi="Cambria"/>
                <w:b w:val="0"/>
                <w:color w:val="000000" w:themeColor="text1"/>
              </w:rPr>
            </w:pPr>
            <w:r>
              <w:rPr>
                <w:rFonts w:ascii="Cambria" w:eastAsia="Helvetica-Light" w:hAnsi="Cambria" w:cs="Helvetica-Light"/>
                <w:b w:val="0"/>
                <w:color w:val="auto"/>
                <w:szCs w:val="24"/>
              </w:rPr>
              <w:t xml:space="preserve">Strategies for improving their safety and </w:t>
            </w:r>
            <w:r>
              <w:rPr>
                <w:rFonts w:ascii="Cambria" w:hAnsi="Cambria" w:cs="Calibri"/>
                <w:b w:val="0"/>
                <w:color w:val="auto"/>
                <w:szCs w:val="24"/>
                <w:lang w:val="en-US"/>
              </w:rPr>
              <w:t>protection</w:t>
            </w:r>
            <w:r w:rsidRPr="001A54DD">
              <w:rPr>
                <w:rFonts w:ascii="Cambria" w:hAnsi="Cambria" w:cs="Calibri"/>
                <w:b w:val="0"/>
                <w:color w:val="auto"/>
                <w:szCs w:val="24"/>
                <w:lang w:val="en-US"/>
              </w:rPr>
              <w:t>.</w:t>
            </w:r>
          </w:p>
        </w:tc>
      </w:tr>
      <w:tr w:rsidR="00C65EF9" w:rsidTr="00192DCB">
        <w:tc>
          <w:tcPr>
            <w:tcW w:w="15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B0F0"/>
          </w:tcPr>
          <w:p w:rsidR="00C65EF9" w:rsidRPr="00DF7969" w:rsidRDefault="00C65EF9" w:rsidP="00192DCB">
            <w:pPr>
              <w:pStyle w:val="Heading3"/>
              <w:spacing w:before="120" w:after="120"/>
              <w:outlineLvl w:val="2"/>
              <w:rPr>
                <w:rFonts w:ascii="Cambria" w:hAnsi="Cambria"/>
                <w:color w:val="FFFFFF" w:themeColor="background1"/>
              </w:rPr>
            </w:pPr>
            <w:r w:rsidRPr="00DF7969">
              <w:rPr>
                <w:rFonts w:ascii="Cambria" w:hAnsi="Cambria"/>
                <w:color w:val="FFFFFF" w:themeColor="background1"/>
              </w:rPr>
              <w:t>Sources of information</w:t>
            </w:r>
          </w:p>
        </w:tc>
        <w:tc>
          <w:tcPr>
            <w:tcW w:w="7461" w:type="dxa"/>
          </w:tcPr>
          <w:p w:rsidR="00C65EF9" w:rsidRDefault="00C65EF9" w:rsidP="00192DCB">
            <w:pPr>
              <w:pStyle w:val="Heading3"/>
              <w:spacing w:before="120" w:after="120"/>
              <w:outlineLvl w:val="2"/>
              <w:rPr>
                <w:rFonts w:ascii="Cambria" w:hAnsi="Cambria"/>
                <w:b w:val="0"/>
                <w:color w:val="000000" w:themeColor="text1"/>
              </w:rPr>
            </w:pPr>
            <w:r>
              <w:rPr>
                <w:rFonts w:ascii="Cambria" w:hAnsi="Cambria"/>
                <w:b w:val="0"/>
                <w:color w:val="000000" w:themeColor="text1"/>
              </w:rPr>
              <w:t>Girls and women of different ages</w:t>
            </w:r>
          </w:p>
        </w:tc>
      </w:tr>
      <w:tr w:rsidR="00C65EF9" w:rsidTr="00192DCB">
        <w:tc>
          <w:tcPr>
            <w:tcW w:w="15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B0F0"/>
          </w:tcPr>
          <w:p w:rsidR="00C65EF9" w:rsidRPr="00DF7969" w:rsidRDefault="00C65EF9" w:rsidP="00192DCB">
            <w:pPr>
              <w:pStyle w:val="Heading3"/>
              <w:spacing w:before="120" w:after="120"/>
              <w:outlineLvl w:val="2"/>
              <w:rPr>
                <w:rFonts w:ascii="Cambria" w:hAnsi="Cambria"/>
                <w:color w:val="FFFFFF" w:themeColor="background1"/>
              </w:rPr>
            </w:pPr>
            <w:r w:rsidRPr="00DF7969">
              <w:rPr>
                <w:rFonts w:ascii="Cambria" w:hAnsi="Cambria"/>
                <w:color w:val="FFFFFF" w:themeColor="background1"/>
              </w:rPr>
              <w:t>Additional information</w:t>
            </w:r>
          </w:p>
        </w:tc>
        <w:tc>
          <w:tcPr>
            <w:tcW w:w="7461" w:type="dxa"/>
          </w:tcPr>
          <w:p w:rsidR="00C65EF9" w:rsidRDefault="00C65EF9" w:rsidP="00192DCB">
            <w:pPr>
              <w:pStyle w:val="Heading3"/>
              <w:spacing w:before="120" w:after="120"/>
              <w:outlineLvl w:val="2"/>
              <w:rPr>
                <w:rFonts w:ascii="Cambria" w:hAnsi="Cambria"/>
                <w:b w:val="0"/>
                <w:color w:val="000000" w:themeColor="text1"/>
              </w:rPr>
            </w:pPr>
            <w:r>
              <w:rPr>
                <w:rFonts w:ascii="Cambria" w:hAnsi="Cambria"/>
                <w:b w:val="0"/>
                <w:color w:val="000000" w:themeColor="text1"/>
              </w:rPr>
              <w:t xml:space="preserve">This exercise can be done in settings where it is not possible or appropriate to conduct a safety walk (see </w:t>
            </w:r>
            <w:r w:rsidRPr="00DC15B3">
              <w:rPr>
                <w:rFonts w:ascii="Cambria" w:hAnsi="Cambria"/>
                <w:color w:val="000000" w:themeColor="text1"/>
              </w:rPr>
              <w:t xml:space="preserve">Tool </w:t>
            </w:r>
            <w:r>
              <w:rPr>
                <w:rFonts w:ascii="Cambria" w:hAnsi="Cambria"/>
                <w:color w:val="000000" w:themeColor="text1"/>
              </w:rPr>
              <w:t>9</w:t>
            </w:r>
            <w:r>
              <w:rPr>
                <w:rFonts w:ascii="Cambria" w:hAnsi="Cambria"/>
                <w:b w:val="0"/>
                <w:color w:val="000000" w:themeColor="text1"/>
              </w:rPr>
              <w:t>).</w:t>
            </w:r>
          </w:p>
          <w:p w:rsidR="00C65EF9" w:rsidRPr="000E6531" w:rsidRDefault="00C65EF9" w:rsidP="00192DCB">
            <w:pPr>
              <w:pStyle w:val="Heading3"/>
              <w:spacing w:before="120" w:after="120"/>
              <w:outlineLvl w:val="2"/>
              <w:rPr>
                <w:rFonts w:ascii="Cambria" w:hAnsi="Cambria"/>
                <w:b w:val="0"/>
                <w:color w:val="000000" w:themeColor="text1"/>
              </w:rPr>
            </w:pPr>
            <w:r>
              <w:rPr>
                <w:rFonts w:ascii="Cambria" w:hAnsi="Cambria"/>
                <w:b w:val="0"/>
                <w:color w:val="000000" w:themeColor="text1"/>
              </w:rPr>
              <w:t xml:space="preserve">It is ideally done with groups of girls and women of similar ages, where they can be divided into smaller groups of 4-5 people each.  </w:t>
            </w:r>
          </w:p>
        </w:tc>
      </w:tr>
      <w:tr w:rsidR="00C65EF9" w:rsidTr="00192DCB">
        <w:tc>
          <w:tcPr>
            <w:tcW w:w="1555" w:type="dxa"/>
            <w:tcBorders>
              <w:top w:val="single" w:sz="6" w:space="0" w:color="FFFFFF" w:themeColor="background1"/>
            </w:tcBorders>
            <w:shd w:val="clear" w:color="auto" w:fill="00B0F0"/>
          </w:tcPr>
          <w:p w:rsidR="00C65EF9" w:rsidRPr="00DF7969" w:rsidRDefault="00C65EF9" w:rsidP="00192DCB">
            <w:pPr>
              <w:pStyle w:val="Heading3"/>
              <w:spacing w:before="120" w:after="120"/>
              <w:outlineLvl w:val="2"/>
              <w:rPr>
                <w:rFonts w:ascii="Cambria" w:hAnsi="Cambria"/>
                <w:color w:val="FFFFFF" w:themeColor="background1"/>
              </w:rPr>
            </w:pPr>
            <w:r>
              <w:rPr>
                <w:rFonts w:ascii="Cambria" w:hAnsi="Cambria"/>
                <w:color w:val="FFFFFF" w:themeColor="background1"/>
              </w:rPr>
              <w:t>Parts</w:t>
            </w:r>
          </w:p>
        </w:tc>
        <w:tc>
          <w:tcPr>
            <w:tcW w:w="7461" w:type="dxa"/>
          </w:tcPr>
          <w:p w:rsidR="00C65EF9" w:rsidRDefault="00C65EF9" w:rsidP="00192DCB">
            <w:pPr>
              <w:pStyle w:val="Heading3"/>
              <w:spacing w:before="120" w:after="120"/>
              <w:outlineLvl w:val="2"/>
              <w:rPr>
                <w:rFonts w:ascii="Cambria" w:hAnsi="Cambria"/>
                <w:b w:val="0"/>
                <w:color w:val="000000" w:themeColor="text1"/>
              </w:rPr>
            </w:pPr>
            <w:r w:rsidRPr="000E6531">
              <w:rPr>
                <w:rFonts w:ascii="Cambria" w:hAnsi="Cambria"/>
                <w:color w:val="000000" w:themeColor="text1"/>
              </w:rPr>
              <w:t>Part A</w:t>
            </w:r>
            <w:r>
              <w:rPr>
                <w:rFonts w:ascii="Cambria" w:hAnsi="Cambria"/>
                <w:color w:val="000000" w:themeColor="text1"/>
              </w:rPr>
              <w:t>:</w:t>
            </w:r>
            <w:r w:rsidRPr="000E6531">
              <w:rPr>
                <w:rFonts w:ascii="Cambria" w:hAnsi="Cambria"/>
                <w:color w:val="000000" w:themeColor="text1"/>
              </w:rPr>
              <w:t xml:space="preserve"> Steps in Safety Mapping Exercise</w:t>
            </w:r>
            <w:r>
              <w:rPr>
                <w:rFonts w:ascii="Cambria" w:hAnsi="Cambria"/>
                <w:b w:val="0"/>
                <w:color w:val="000000" w:themeColor="text1"/>
              </w:rPr>
              <w:t xml:space="preserve"> outlines a suggested process for conducting a participatory mapping exercise.</w:t>
            </w:r>
          </w:p>
          <w:p w:rsidR="00C65EF9" w:rsidRPr="000E6531" w:rsidRDefault="00C65EF9" w:rsidP="00192DCB">
            <w:pPr>
              <w:spacing w:before="120" w:after="120"/>
            </w:pPr>
            <w:r w:rsidRPr="000E6531">
              <w:rPr>
                <w:b/>
              </w:rPr>
              <w:t>Part B</w:t>
            </w:r>
            <w:r>
              <w:rPr>
                <w:b/>
              </w:rPr>
              <w:t>:</w:t>
            </w:r>
            <w:r w:rsidRPr="000E6531">
              <w:rPr>
                <w:b/>
              </w:rPr>
              <w:t xml:space="preserve"> </w:t>
            </w:r>
            <w:r>
              <w:rPr>
                <w:b/>
              </w:rPr>
              <w:t xml:space="preserve">Safety </w:t>
            </w:r>
            <w:r w:rsidRPr="000E6531">
              <w:rPr>
                <w:b/>
              </w:rPr>
              <w:t>Issue</w:t>
            </w:r>
            <w:r>
              <w:rPr>
                <w:b/>
              </w:rPr>
              <w:t>s and Solutions</w:t>
            </w:r>
            <w:r w:rsidRPr="000E6531">
              <w:rPr>
                <w:b/>
              </w:rPr>
              <w:t xml:space="preserve"> Log</w:t>
            </w:r>
            <w:r>
              <w:t xml:space="preserve"> provides a template for recording the safety problems identified and recommended solutions and strategies for addressing them.</w:t>
            </w:r>
          </w:p>
        </w:tc>
      </w:tr>
    </w:tbl>
    <w:p w:rsidR="00C65EF9" w:rsidRDefault="00C65EF9" w:rsidP="00C65EF9"/>
    <w:p w:rsidR="00C65EF9" w:rsidRDefault="00C65EF9" w:rsidP="00C65EF9"/>
    <w:p w:rsidR="00C65EF9" w:rsidRDefault="00C65EF9" w:rsidP="00C65EF9">
      <w:pPr>
        <w:sectPr w:rsidR="00C65EF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6" w:space="0" w:color="00B0F0"/>
          <w:left w:val="single" w:sz="6" w:space="0" w:color="00B0F0"/>
          <w:bottom w:val="single" w:sz="6" w:space="0" w:color="00B0F0"/>
          <w:right w:val="single" w:sz="6" w:space="0" w:color="00B0F0"/>
          <w:insideH w:val="single" w:sz="6" w:space="0" w:color="00B0F0"/>
          <w:insideV w:val="single" w:sz="6" w:space="0" w:color="00B0F0"/>
        </w:tblBorders>
        <w:tblLook w:val="04A0" w:firstRow="1" w:lastRow="0" w:firstColumn="1" w:lastColumn="0" w:noHBand="0" w:noVBand="1"/>
      </w:tblPr>
      <w:tblGrid>
        <w:gridCol w:w="8980"/>
      </w:tblGrid>
      <w:tr w:rsidR="00C65EF9" w:rsidTr="00192DCB">
        <w:tc>
          <w:tcPr>
            <w:tcW w:w="8980" w:type="dxa"/>
            <w:shd w:val="clear" w:color="auto" w:fill="00B0F0"/>
          </w:tcPr>
          <w:p w:rsidR="00C65EF9" w:rsidRPr="009D4C1E" w:rsidRDefault="00C65EF9" w:rsidP="00192DCB">
            <w:pPr>
              <w:spacing w:before="120" w:after="120"/>
              <w:rPr>
                <w:b/>
                <w:color w:val="7B7B7B" w:themeColor="accent3" w:themeShade="BF"/>
                <w:lang w:eastAsia="en-AU"/>
              </w:rPr>
            </w:pPr>
            <w:r>
              <w:rPr>
                <w:b/>
                <w:color w:val="FFFFFF" w:themeColor="background1"/>
                <w:lang w:eastAsia="en-AU"/>
              </w:rPr>
              <w:lastRenderedPageBreak/>
              <w:t>Part A: Steps in Safety Mapping Exercise</w:t>
            </w:r>
          </w:p>
        </w:tc>
      </w:tr>
      <w:tr w:rsidR="00C65EF9" w:rsidTr="00192DCB">
        <w:tc>
          <w:tcPr>
            <w:tcW w:w="8980" w:type="dxa"/>
          </w:tcPr>
          <w:p w:rsidR="00C65EF9" w:rsidRPr="001F78D1" w:rsidRDefault="00C65EF9" w:rsidP="00192DCB">
            <w:pPr>
              <w:rPr>
                <w:b/>
                <w:lang w:eastAsia="en-AU"/>
              </w:rPr>
            </w:pPr>
            <w:r w:rsidRPr="001F78D1">
              <w:rPr>
                <w:b/>
                <w:lang w:eastAsia="en-AU"/>
              </w:rPr>
              <w:t>Step 1 Small group mapping – 30 minutes</w:t>
            </w:r>
          </w:p>
          <w:p w:rsidR="00C65EF9" w:rsidRPr="000E6531" w:rsidRDefault="00C65EF9" w:rsidP="00192DCB">
            <w:pPr>
              <w:autoSpaceDE w:val="0"/>
              <w:autoSpaceDN w:val="0"/>
              <w:adjustRightInd w:val="0"/>
              <w:spacing w:before="200"/>
              <w:rPr>
                <w:rFonts w:cs="Times New Roman"/>
                <w:bCs/>
                <w:lang w:val="en-GB"/>
              </w:rPr>
            </w:pPr>
            <w:r>
              <w:rPr>
                <w:rFonts w:cs="Times New Roman"/>
                <w:bCs/>
                <w:lang w:val="en-GB"/>
              </w:rPr>
              <w:t xml:space="preserve">1.1 </w:t>
            </w:r>
            <w:r w:rsidRPr="000E6531">
              <w:rPr>
                <w:rFonts w:cs="Times New Roman"/>
                <w:bCs/>
                <w:lang w:val="en-GB"/>
              </w:rPr>
              <w:t>Divide participants into three or four groups</w:t>
            </w:r>
            <w:r>
              <w:rPr>
                <w:rFonts w:cs="Times New Roman"/>
                <w:bCs/>
                <w:lang w:val="en-GB"/>
              </w:rPr>
              <w:t xml:space="preserve"> of four to five people each</w:t>
            </w:r>
            <w:r w:rsidRPr="000E6531">
              <w:rPr>
                <w:rFonts w:cs="Times New Roman"/>
                <w:bCs/>
                <w:lang w:val="en-GB"/>
              </w:rPr>
              <w:t>.</w:t>
            </w:r>
          </w:p>
          <w:p w:rsidR="00C65EF9" w:rsidRPr="001F78D1" w:rsidRDefault="00C65EF9" w:rsidP="00C65EF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00" w:after="0" w:line="240" w:lineRule="auto"/>
              <w:rPr>
                <w:rFonts w:cs="Times New Roman"/>
                <w:bCs/>
                <w:lang w:val="en-GB"/>
              </w:rPr>
            </w:pPr>
            <w:r w:rsidRPr="001F78D1">
              <w:rPr>
                <w:rFonts w:cs="Times New Roman"/>
                <w:bCs/>
                <w:lang w:val="en-GB"/>
              </w:rPr>
              <w:t>Give each group four flipchart pages taped together and markers</w:t>
            </w:r>
            <w:r>
              <w:rPr>
                <w:rFonts w:cs="Times New Roman"/>
                <w:bCs/>
                <w:lang w:val="en-GB"/>
              </w:rPr>
              <w:t>, coloured stickers or post-it notes</w:t>
            </w:r>
            <w:r w:rsidRPr="001F78D1">
              <w:rPr>
                <w:rFonts w:cs="Times New Roman"/>
                <w:bCs/>
                <w:lang w:val="en-GB"/>
              </w:rPr>
              <w:t xml:space="preserve">. </w:t>
            </w:r>
          </w:p>
          <w:p w:rsidR="00C65EF9" w:rsidRPr="001F78D1" w:rsidRDefault="00C65EF9" w:rsidP="00192DCB">
            <w:pPr>
              <w:pStyle w:val="ListParagraph"/>
              <w:rPr>
                <w:rFonts w:cs="Times New Roman"/>
                <w:bCs/>
                <w:lang w:val="en-GB"/>
              </w:rPr>
            </w:pPr>
          </w:p>
          <w:p w:rsidR="00C65EF9" w:rsidRDefault="00C65EF9" w:rsidP="00C65EF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00" w:after="0" w:line="240" w:lineRule="auto"/>
              <w:rPr>
                <w:rFonts w:cs="Times New Roman"/>
                <w:bCs/>
                <w:lang w:val="en-GB"/>
              </w:rPr>
            </w:pPr>
            <w:r w:rsidRPr="001F78D1">
              <w:rPr>
                <w:rFonts w:cs="Times New Roman"/>
                <w:bCs/>
                <w:lang w:val="en-GB"/>
              </w:rPr>
              <w:t xml:space="preserve">Ask each group to draw a geographical map of their camp or community, and </w:t>
            </w:r>
            <w:r>
              <w:rPr>
                <w:rFonts w:cs="Times New Roman"/>
                <w:bCs/>
                <w:lang w:val="en-GB"/>
              </w:rPr>
              <w:t xml:space="preserve">– using different colours, stickers or post-it notes – </w:t>
            </w:r>
            <w:r w:rsidRPr="001F78D1">
              <w:rPr>
                <w:rFonts w:cs="Times New Roman"/>
                <w:bCs/>
                <w:lang w:val="en-GB"/>
              </w:rPr>
              <w:t xml:space="preserve">mark </w:t>
            </w:r>
            <w:r>
              <w:rPr>
                <w:rFonts w:cs="Times New Roman"/>
                <w:bCs/>
                <w:lang w:val="en-GB"/>
              </w:rPr>
              <w:t>the places on the map where:</w:t>
            </w:r>
          </w:p>
          <w:p w:rsidR="00C65EF9" w:rsidRPr="00F46DF5" w:rsidRDefault="00C65EF9" w:rsidP="00C65EF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00" w:after="0" w:line="240" w:lineRule="auto"/>
              <w:rPr>
                <w:rFonts w:cs="Times New Roman"/>
                <w:bCs/>
                <w:lang w:val="en-GB"/>
              </w:rPr>
            </w:pPr>
            <w:r>
              <w:rPr>
                <w:rFonts w:cs="Times New Roman"/>
                <w:bCs/>
                <w:lang w:val="en-GB"/>
              </w:rPr>
              <w:t>Girls and w</w:t>
            </w:r>
            <w:r w:rsidRPr="00F46DF5">
              <w:rPr>
                <w:rFonts w:cs="Times New Roman"/>
                <w:bCs/>
                <w:lang w:val="en-GB"/>
              </w:rPr>
              <w:t>omen feel safe</w:t>
            </w:r>
            <w:r>
              <w:rPr>
                <w:rFonts w:cs="Times New Roman"/>
                <w:bCs/>
                <w:lang w:val="en-GB"/>
              </w:rPr>
              <w:t>;</w:t>
            </w:r>
          </w:p>
          <w:p w:rsidR="00C65EF9" w:rsidRPr="00F46DF5" w:rsidRDefault="00C65EF9" w:rsidP="00C65EF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00" w:after="0" w:line="240" w:lineRule="auto"/>
              <w:rPr>
                <w:rFonts w:cs="Times New Roman"/>
                <w:bCs/>
                <w:lang w:val="en-GB"/>
              </w:rPr>
            </w:pPr>
            <w:r>
              <w:rPr>
                <w:rFonts w:cs="Times New Roman"/>
                <w:bCs/>
                <w:lang w:val="en-GB"/>
              </w:rPr>
              <w:t>G</w:t>
            </w:r>
            <w:r w:rsidRPr="00F46DF5">
              <w:rPr>
                <w:rFonts w:cs="Times New Roman"/>
                <w:bCs/>
                <w:lang w:val="en-GB"/>
              </w:rPr>
              <w:t xml:space="preserve">irls </w:t>
            </w:r>
            <w:r>
              <w:rPr>
                <w:rFonts w:cs="Times New Roman"/>
                <w:bCs/>
                <w:lang w:val="en-GB"/>
              </w:rPr>
              <w:t xml:space="preserve">and women </w:t>
            </w:r>
            <w:r w:rsidRPr="00F46DF5">
              <w:rPr>
                <w:rFonts w:cs="Times New Roman"/>
                <w:bCs/>
                <w:lang w:val="en-GB"/>
              </w:rPr>
              <w:t>feel unsafe</w:t>
            </w:r>
            <w:r>
              <w:rPr>
                <w:rFonts w:cs="Times New Roman"/>
                <w:bCs/>
                <w:lang w:val="en-GB"/>
              </w:rPr>
              <w:t>; and</w:t>
            </w:r>
          </w:p>
          <w:p w:rsidR="00C65EF9" w:rsidRDefault="00C65EF9" w:rsidP="00C65EF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00" w:after="0" w:line="240" w:lineRule="auto"/>
              <w:rPr>
                <w:rFonts w:cs="Times New Roman"/>
                <w:bCs/>
                <w:lang w:val="en-GB"/>
              </w:rPr>
            </w:pPr>
            <w:r>
              <w:rPr>
                <w:rFonts w:cs="Times New Roman"/>
                <w:bCs/>
                <w:lang w:val="en-GB"/>
              </w:rPr>
              <w:t>D</w:t>
            </w:r>
            <w:r w:rsidRPr="00F46DF5">
              <w:rPr>
                <w:rFonts w:cs="Times New Roman"/>
                <w:bCs/>
                <w:lang w:val="en-GB"/>
              </w:rPr>
              <w:t xml:space="preserve">ifferent types of </w:t>
            </w:r>
            <w:r>
              <w:rPr>
                <w:rFonts w:cs="Times New Roman"/>
                <w:bCs/>
                <w:lang w:val="en-GB"/>
              </w:rPr>
              <w:t xml:space="preserve">GBV </w:t>
            </w:r>
            <w:r w:rsidRPr="00F46DF5">
              <w:rPr>
                <w:rFonts w:cs="Times New Roman"/>
                <w:bCs/>
                <w:lang w:val="en-GB"/>
              </w:rPr>
              <w:t xml:space="preserve">happen to different groups. </w:t>
            </w:r>
          </w:p>
          <w:p w:rsidR="00C65EF9" w:rsidRPr="006B14FA" w:rsidRDefault="00C65EF9" w:rsidP="00192DCB">
            <w:pPr>
              <w:pStyle w:val="ListParagraph"/>
              <w:autoSpaceDE w:val="0"/>
              <w:autoSpaceDN w:val="0"/>
              <w:adjustRightInd w:val="0"/>
              <w:spacing w:before="200"/>
              <w:rPr>
                <w:rFonts w:cs="Times New Roman"/>
                <w:bCs/>
                <w:lang w:val="en-GB"/>
              </w:rPr>
            </w:pPr>
          </w:p>
        </w:tc>
      </w:tr>
      <w:tr w:rsidR="00C65EF9" w:rsidTr="00192DCB">
        <w:tc>
          <w:tcPr>
            <w:tcW w:w="8980" w:type="dxa"/>
          </w:tcPr>
          <w:p w:rsidR="00C65EF9" w:rsidRPr="001F78D1" w:rsidRDefault="00C65EF9" w:rsidP="00192DCB">
            <w:pPr>
              <w:rPr>
                <w:b/>
                <w:lang w:eastAsia="en-AU"/>
              </w:rPr>
            </w:pPr>
            <w:r w:rsidRPr="001F78D1">
              <w:rPr>
                <w:b/>
                <w:lang w:eastAsia="en-AU"/>
              </w:rPr>
              <w:t>St</w:t>
            </w:r>
            <w:r>
              <w:rPr>
                <w:b/>
                <w:lang w:eastAsia="en-AU"/>
              </w:rPr>
              <w:t>ep 2 Present findings</w:t>
            </w:r>
          </w:p>
          <w:p w:rsidR="00C65EF9" w:rsidRPr="000403C2" w:rsidRDefault="00C65EF9" w:rsidP="00C65EF9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before="200" w:after="0" w:line="240" w:lineRule="auto"/>
              <w:rPr>
                <w:rFonts w:cs="Times New Roman"/>
                <w:bCs/>
                <w:lang w:val="en-GB"/>
              </w:rPr>
            </w:pPr>
            <w:r w:rsidRPr="000403C2">
              <w:rPr>
                <w:rFonts w:cs="Times New Roman"/>
                <w:bCs/>
                <w:lang w:val="en-GB"/>
              </w:rPr>
              <w:t xml:space="preserve">Ask each group to present their map to the large group. Allow </w:t>
            </w:r>
            <w:r>
              <w:rPr>
                <w:rFonts w:cs="Times New Roman"/>
                <w:bCs/>
                <w:lang w:val="en-GB"/>
              </w:rPr>
              <w:t>five</w:t>
            </w:r>
            <w:r w:rsidRPr="000403C2">
              <w:rPr>
                <w:rFonts w:cs="Times New Roman"/>
                <w:bCs/>
                <w:lang w:val="en-GB"/>
              </w:rPr>
              <w:t xml:space="preserve"> minutes per group.</w:t>
            </w:r>
          </w:p>
          <w:p w:rsidR="00C65EF9" w:rsidRDefault="00C65EF9" w:rsidP="00192DCB">
            <w:pPr>
              <w:pStyle w:val="ListParagraph"/>
              <w:autoSpaceDE w:val="0"/>
              <w:autoSpaceDN w:val="0"/>
              <w:adjustRightInd w:val="0"/>
              <w:spacing w:before="200"/>
              <w:ind w:left="360"/>
              <w:rPr>
                <w:rFonts w:cs="Times New Roman"/>
                <w:bCs/>
                <w:lang w:val="en-GB"/>
              </w:rPr>
            </w:pPr>
          </w:p>
          <w:p w:rsidR="00C65EF9" w:rsidRDefault="00C65EF9" w:rsidP="00C65EF9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before="200" w:after="0" w:line="240" w:lineRule="auto"/>
              <w:rPr>
                <w:rFonts w:cs="Times New Roman"/>
                <w:bCs/>
                <w:lang w:val="en-GB"/>
              </w:rPr>
            </w:pPr>
            <w:r w:rsidRPr="000403C2">
              <w:rPr>
                <w:rFonts w:cs="Times New Roman"/>
                <w:bCs/>
                <w:lang w:val="en-GB"/>
              </w:rPr>
              <w:t>As groups present</w:t>
            </w:r>
            <w:r>
              <w:rPr>
                <w:rFonts w:cs="Times New Roman"/>
                <w:bCs/>
                <w:lang w:val="en-GB"/>
              </w:rPr>
              <w:t xml:space="preserve"> their findings</w:t>
            </w:r>
            <w:r w:rsidRPr="000403C2">
              <w:rPr>
                <w:rFonts w:cs="Times New Roman"/>
                <w:bCs/>
                <w:lang w:val="en-GB"/>
              </w:rPr>
              <w:t>, write a consolidated list of all forms of GBV, where they occur and who is perpetrating them on a flipchart, as well as the places where women feel safe.</w:t>
            </w:r>
          </w:p>
          <w:p w:rsidR="00C65EF9" w:rsidRPr="00D8647E" w:rsidRDefault="00C65EF9" w:rsidP="00192DCB">
            <w:pPr>
              <w:pStyle w:val="ListParagraph"/>
              <w:rPr>
                <w:rFonts w:cs="Times New Roman"/>
                <w:bCs/>
                <w:lang w:val="en-GB"/>
              </w:rPr>
            </w:pPr>
          </w:p>
          <w:p w:rsidR="00C65EF9" w:rsidRDefault="00C65EF9" w:rsidP="00C65EF9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before="200" w:after="0" w:line="240" w:lineRule="auto"/>
              <w:rPr>
                <w:rFonts w:cs="Times New Roman"/>
                <w:bCs/>
                <w:lang w:val="en-GB"/>
              </w:rPr>
            </w:pPr>
            <w:r w:rsidRPr="00527FD1">
              <w:rPr>
                <w:rFonts w:cs="Times New Roman"/>
                <w:bCs/>
                <w:lang w:val="en-GB"/>
              </w:rPr>
              <w:t xml:space="preserve">Post the maps on the wall. </w:t>
            </w:r>
          </w:p>
          <w:p w:rsidR="00C65EF9" w:rsidRPr="00A17C86" w:rsidRDefault="00C65EF9" w:rsidP="00192DCB">
            <w:pPr>
              <w:autoSpaceDE w:val="0"/>
              <w:autoSpaceDN w:val="0"/>
              <w:adjustRightInd w:val="0"/>
              <w:spacing w:before="200"/>
              <w:rPr>
                <w:rFonts w:cs="Times New Roman"/>
                <w:bCs/>
                <w:lang w:val="en-GB"/>
              </w:rPr>
            </w:pPr>
          </w:p>
        </w:tc>
      </w:tr>
      <w:tr w:rsidR="00C65EF9" w:rsidRPr="001F78D1" w:rsidTr="00192DCB">
        <w:tc>
          <w:tcPr>
            <w:tcW w:w="8980" w:type="dxa"/>
          </w:tcPr>
          <w:p w:rsidR="00C65EF9" w:rsidRPr="001F78D1" w:rsidRDefault="00C65EF9" w:rsidP="00192DCB">
            <w:pPr>
              <w:rPr>
                <w:b/>
                <w:lang w:eastAsia="en-AU"/>
              </w:rPr>
            </w:pPr>
            <w:r w:rsidRPr="001F78D1">
              <w:rPr>
                <w:b/>
                <w:lang w:eastAsia="en-AU"/>
              </w:rPr>
              <w:t>Step</w:t>
            </w:r>
            <w:r>
              <w:rPr>
                <w:b/>
                <w:lang w:eastAsia="en-AU"/>
              </w:rPr>
              <w:t xml:space="preserve"> 3 Discuss findings</w:t>
            </w:r>
          </w:p>
          <w:p w:rsidR="00C65EF9" w:rsidRDefault="00C65EF9" w:rsidP="00C65EF9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200" w:after="0" w:line="240" w:lineRule="auto"/>
              <w:rPr>
                <w:rFonts w:cs="Times New Roman"/>
                <w:bCs/>
                <w:lang w:val="en-GB"/>
              </w:rPr>
            </w:pPr>
            <w:r w:rsidRPr="001F78D1">
              <w:rPr>
                <w:rFonts w:cs="Times New Roman"/>
                <w:bCs/>
                <w:lang w:val="en-GB"/>
              </w:rPr>
              <w:t>Facilitate a discussion about the mapping. The following questions may be used or adapted:</w:t>
            </w:r>
          </w:p>
          <w:p w:rsidR="00C65EF9" w:rsidRPr="00C91018" w:rsidRDefault="00C65EF9" w:rsidP="00C65EF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00" w:after="0" w:line="240" w:lineRule="auto"/>
              <w:rPr>
                <w:rFonts w:cs="Times New Roman"/>
                <w:bCs/>
                <w:i/>
                <w:lang w:val="en-GB"/>
              </w:rPr>
            </w:pPr>
            <w:r w:rsidRPr="00C91018">
              <w:rPr>
                <w:rFonts w:cs="Times New Roman"/>
                <w:bCs/>
                <w:i/>
                <w:lang w:val="en-GB"/>
              </w:rPr>
              <w:t xml:space="preserve">Is anyone surprised by anything on the maps? </w:t>
            </w:r>
          </w:p>
          <w:p w:rsidR="00C65EF9" w:rsidRPr="00C91018" w:rsidRDefault="00C65EF9" w:rsidP="00C65EF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00" w:after="0" w:line="240" w:lineRule="auto"/>
              <w:rPr>
                <w:rFonts w:cs="Times New Roman"/>
                <w:bCs/>
                <w:i/>
                <w:lang w:val="en-GB"/>
              </w:rPr>
            </w:pPr>
            <w:r w:rsidRPr="00C91018">
              <w:rPr>
                <w:rFonts w:cs="Times New Roman"/>
                <w:bCs/>
                <w:i/>
                <w:lang w:val="en-GB"/>
              </w:rPr>
              <w:t>Is there anything missing?</w:t>
            </w:r>
          </w:p>
          <w:p w:rsidR="00C65EF9" w:rsidRPr="00C91018" w:rsidRDefault="00C65EF9" w:rsidP="00C65EF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00" w:after="0" w:line="240" w:lineRule="auto"/>
              <w:rPr>
                <w:rFonts w:cs="Times New Roman"/>
                <w:bCs/>
                <w:i/>
                <w:lang w:val="en-GB"/>
              </w:rPr>
            </w:pPr>
            <w:r w:rsidRPr="00C91018">
              <w:rPr>
                <w:rFonts w:cs="Times New Roman"/>
                <w:bCs/>
                <w:i/>
                <w:lang w:val="en-GB"/>
              </w:rPr>
              <w:t>Where are men safe/unsafe?</w:t>
            </w:r>
          </w:p>
          <w:p w:rsidR="00C65EF9" w:rsidRPr="00C91018" w:rsidRDefault="00C65EF9" w:rsidP="00C65EF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00" w:after="0" w:line="240" w:lineRule="auto"/>
              <w:rPr>
                <w:rFonts w:cs="Times New Roman"/>
                <w:bCs/>
                <w:i/>
                <w:lang w:val="en-GB"/>
              </w:rPr>
            </w:pPr>
            <w:r w:rsidRPr="00C91018">
              <w:rPr>
                <w:rFonts w:cs="Times New Roman"/>
                <w:bCs/>
                <w:i/>
                <w:lang w:val="en-GB"/>
              </w:rPr>
              <w:t>Where are women safe/unsafe?</w:t>
            </w:r>
          </w:p>
          <w:p w:rsidR="00C65EF9" w:rsidRDefault="00C65EF9" w:rsidP="00C65EF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00" w:after="0" w:line="240" w:lineRule="auto"/>
              <w:rPr>
                <w:rFonts w:cs="Times New Roman"/>
                <w:bCs/>
                <w:i/>
                <w:lang w:val="en-GB"/>
              </w:rPr>
            </w:pPr>
            <w:r w:rsidRPr="00C91018">
              <w:rPr>
                <w:rFonts w:cs="Times New Roman"/>
                <w:bCs/>
                <w:i/>
                <w:lang w:val="en-GB"/>
              </w:rPr>
              <w:t>Where are children safe/unsafe?</w:t>
            </w:r>
          </w:p>
          <w:p w:rsidR="00C65EF9" w:rsidRPr="00C91018" w:rsidRDefault="00C65EF9" w:rsidP="00C65EF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00" w:after="0" w:line="240" w:lineRule="auto"/>
              <w:rPr>
                <w:rFonts w:cs="Times New Roman"/>
                <w:bCs/>
                <w:i/>
                <w:lang w:val="en-GB"/>
              </w:rPr>
            </w:pPr>
            <w:r w:rsidRPr="00C91018">
              <w:rPr>
                <w:rFonts w:cs="Times New Roman"/>
                <w:bCs/>
                <w:i/>
                <w:lang w:val="en-GB"/>
              </w:rPr>
              <w:t>What have we learned about the different places that men and women experience violence?</w:t>
            </w:r>
          </w:p>
          <w:p w:rsidR="00C65EF9" w:rsidRPr="00C91018" w:rsidRDefault="00C65EF9" w:rsidP="00C65EF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00" w:after="0" w:line="240" w:lineRule="auto"/>
              <w:rPr>
                <w:rFonts w:cs="Times New Roman"/>
                <w:bCs/>
                <w:i/>
                <w:lang w:val="en-GB"/>
              </w:rPr>
            </w:pPr>
            <w:r>
              <w:rPr>
                <w:rFonts w:cs="Times New Roman"/>
                <w:bCs/>
                <w:i/>
                <w:lang w:val="en-GB"/>
              </w:rPr>
              <w:t>Focus</w:t>
            </w:r>
            <w:r w:rsidRPr="00C91018">
              <w:rPr>
                <w:rFonts w:cs="Times New Roman"/>
                <w:bCs/>
                <w:i/>
                <w:lang w:val="en-GB"/>
              </w:rPr>
              <w:t xml:space="preserve">ing on girls and women, who is using violence against them? </w:t>
            </w:r>
            <w:r w:rsidRPr="00F01D97">
              <w:rPr>
                <w:rFonts w:cs="Times New Roman"/>
                <w:bCs/>
                <w:lang w:val="en-GB"/>
              </w:rPr>
              <w:t xml:space="preserve">(Go through </w:t>
            </w:r>
            <w:r w:rsidRPr="00F01D97">
              <w:rPr>
                <w:rFonts w:cs="Times New Roman"/>
                <w:bCs/>
                <w:szCs w:val="24"/>
                <w:lang w:val="en-GB"/>
              </w:rPr>
              <w:t>forms of violence on the list complied in step 2.</w:t>
            </w:r>
            <w:r w:rsidRPr="00C91018">
              <w:rPr>
                <w:rFonts w:cs="Times New Roman"/>
                <w:bCs/>
                <w:szCs w:val="24"/>
                <w:lang w:val="en-GB"/>
              </w:rPr>
              <w:t>)</w:t>
            </w:r>
          </w:p>
          <w:p w:rsidR="00C65EF9" w:rsidRPr="00C91018" w:rsidRDefault="00C65EF9" w:rsidP="00C65EF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00" w:after="0" w:line="240" w:lineRule="auto"/>
              <w:rPr>
                <w:rFonts w:cs="Times New Roman"/>
                <w:bCs/>
                <w:i/>
                <w:lang w:val="en-GB"/>
              </w:rPr>
            </w:pPr>
            <w:r w:rsidRPr="00C91018">
              <w:rPr>
                <w:rFonts w:cs="Times New Roman"/>
                <w:bCs/>
                <w:i/>
                <w:szCs w:val="24"/>
                <w:lang w:val="en-GB"/>
              </w:rPr>
              <w:t xml:space="preserve">Which types of violence </w:t>
            </w:r>
            <w:r w:rsidRPr="00C91018">
              <w:rPr>
                <w:rFonts w:eastAsia="Helvetica-Light" w:cs="Helvetica-Light"/>
                <w:i/>
                <w:color w:val="000000"/>
                <w:szCs w:val="24"/>
              </w:rPr>
              <w:t>are the most common and of most concern to women? How is this different among different groups of women?</w:t>
            </w:r>
          </w:p>
          <w:p w:rsidR="00C65EF9" w:rsidRPr="00DC15B3" w:rsidRDefault="00C65EF9" w:rsidP="00C65EF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00" w:after="0" w:line="240" w:lineRule="auto"/>
              <w:rPr>
                <w:rFonts w:cs="Times New Roman"/>
                <w:bCs/>
                <w:lang w:val="en-GB"/>
              </w:rPr>
            </w:pPr>
            <w:r w:rsidRPr="00C91018">
              <w:rPr>
                <w:rFonts w:cs="Times New Roman"/>
                <w:bCs/>
                <w:i/>
                <w:lang w:val="en-GB"/>
              </w:rPr>
              <w:t xml:space="preserve">How could we break the silence around forms of violence that we have identified today, </w:t>
            </w:r>
            <w:r>
              <w:rPr>
                <w:rFonts w:cs="Times New Roman"/>
                <w:bCs/>
                <w:i/>
                <w:lang w:val="en-GB"/>
              </w:rPr>
              <w:t xml:space="preserve">which </w:t>
            </w:r>
            <w:r w:rsidRPr="00C91018">
              <w:rPr>
                <w:rFonts w:cs="Times New Roman"/>
                <w:bCs/>
                <w:i/>
                <w:lang w:val="en-GB"/>
              </w:rPr>
              <w:t xml:space="preserve">we don’t see because </w:t>
            </w:r>
            <w:r>
              <w:rPr>
                <w:rFonts w:cs="Times New Roman"/>
                <w:bCs/>
                <w:i/>
                <w:lang w:val="en-GB"/>
              </w:rPr>
              <w:t xml:space="preserve">they are </w:t>
            </w:r>
            <w:r w:rsidRPr="00C91018">
              <w:rPr>
                <w:rFonts w:cs="Times New Roman"/>
                <w:bCs/>
                <w:i/>
                <w:lang w:val="en-GB"/>
              </w:rPr>
              <w:t xml:space="preserve">hidden? </w:t>
            </w:r>
          </w:p>
          <w:p w:rsidR="00C65EF9" w:rsidRPr="00471B6D" w:rsidRDefault="00C65EF9" w:rsidP="00192DCB">
            <w:pPr>
              <w:pStyle w:val="ListParagraph"/>
              <w:autoSpaceDE w:val="0"/>
              <w:autoSpaceDN w:val="0"/>
              <w:adjustRightInd w:val="0"/>
              <w:spacing w:before="200"/>
              <w:rPr>
                <w:rFonts w:cs="Times New Roman"/>
                <w:bCs/>
                <w:lang w:val="en-GB"/>
              </w:rPr>
            </w:pPr>
          </w:p>
        </w:tc>
      </w:tr>
      <w:tr w:rsidR="00C65EF9" w:rsidTr="00192DCB">
        <w:tc>
          <w:tcPr>
            <w:tcW w:w="8980" w:type="dxa"/>
          </w:tcPr>
          <w:p w:rsidR="00C65EF9" w:rsidRPr="001F78D1" w:rsidRDefault="00C65EF9" w:rsidP="00192DCB">
            <w:pPr>
              <w:rPr>
                <w:b/>
                <w:lang w:eastAsia="en-AU"/>
              </w:rPr>
            </w:pPr>
            <w:r w:rsidRPr="001F78D1">
              <w:rPr>
                <w:b/>
                <w:lang w:eastAsia="en-AU"/>
              </w:rPr>
              <w:lastRenderedPageBreak/>
              <w:t>Step 4. Identify solutions</w:t>
            </w:r>
          </w:p>
          <w:p w:rsidR="00C65EF9" w:rsidRDefault="00C65EF9" w:rsidP="00C65EF9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200" w:after="0" w:line="240" w:lineRule="auto"/>
              <w:rPr>
                <w:rFonts w:cs="Times New Roman"/>
                <w:bCs/>
                <w:lang w:val="en-GB"/>
              </w:rPr>
            </w:pPr>
            <w:r w:rsidRPr="001F78D1">
              <w:rPr>
                <w:rFonts w:cs="Times New Roman"/>
                <w:bCs/>
                <w:lang w:val="en-GB"/>
              </w:rPr>
              <w:t xml:space="preserve">Go item by item </w:t>
            </w:r>
            <w:r>
              <w:rPr>
                <w:rFonts w:cs="Times New Roman"/>
                <w:bCs/>
                <w:lang w:val="en-GB"/>
              </w:rPr>
              <w:t xml:space="preserve">through </w:t>
            </w:r>
            <w:r w:rsidRPr="001F78D1">
              <w:rPr>
                <w:rFonts w:cs="Times New Roman"/>
                <w:bCs/>
                <w:lang w:val="en-GB"/>
              </w:rPr>
              <w:t>the forms of GBV</w:t>
            </w:r>
            <w:r>
              <w:rPr>
                <w:rFonts w:cs="Times New Roman"/>
                <w:bCs/>
                <w:lang w:val="en-GB"/>
              </w:rPr>
              <w:t xml:space="preserve"> and unsafe places </w:t>
            </w:r>
            <w:r w:rsidRPr="001F78D1">
              <w:rPr>
                <w:rFonts w:cs="Times New Roman"/>
                <w:bCs/>
                <w:lang w:val="en-GB"/>
              </w:rPr>
              <w:t xml:space="preserve">identified in Step 2 and ask the </w:t>
            </w:r>
            <w:r>
              <w:rPr>
                <w:rFonts w:cs="Times New Roman"/>
                <w:bCs/>
                <w:lang w:val="en-GB"/>
              </w:rPr>
              <w:t xml:space="preserve">large </w:t>
            </w:r>
            <w:r w:rsidRPr="001F78D1">
              <w:rPr>
                <w:rFonts w:cs="Times New Roman"/>
                <w:bCs/>
                <w:lang w:val="en-GB"/>
              </w:rPr>
              <w:t xml:space="preserve">group to brainstorm </w:t>
            </w:r>
            <w:r>
              <w:rPr>
                <w:rFonts w:cs="Times New Roman"/>
                <w:bCs/>
                <w:lang w:val="en-GB"/>
              </w:rPr>
              <w:t xml:space="preserve">solutions for making girls and </w:t>
            </w:r>
            <w:r w:rsidRPr="001F78D1">
              <w:rPr>
                <w:rFonts w:cs="Times New Roman"/>
                <w:bCs/>
                <w:lang w:val="en-GB"/>
              </w:rPr>
              <w:t>women safer.</w:t>
            </w:r>
            <w:r>
              <w:rPr>
                <w:rFonts w:cs="Times New Roman"/>
                <w:bCs/>
                <w:lang w:val="en-GB"/>
              </w:rPr>
              <w:t xml:space="preserve"> </w:t>
            </w:r>
            <w:r w:rsidRPr="00F72E86">
              <w:rPr>
                <w:rFonts w:cs="Times New Roman"/>
                <w:bCs/>
                <w:lang w:val="en-GB"/>
              </w:rPr>
              <w:t xml:space="preserve">Encourage participants to consider actions </w:t>
            </w:r>
            <w:r>
              <w:rPr>
                <w:rFonts w:cs="Times New Roman"/>
                <w:bCs/>
                <w:lang w:val="en-GB"/>
              </w:rPr>
              <w:t xml:space="preserve">that </w:t>
            </w:r>
            <w:r w:rsidRPr="00F72E86">
              <w:rPr>
                <w:rFonts w:cs="Times New Roman"/>
                <w:bCs/>
                <w:lang w:val="en-GB"/>
              </w:rPr>
              <w:t>different duty bearers can take</w:t>
            </w:r>
            <w:r>
              <w:rPr>
                <w:rFonts w:cs="Times New Roman"/>
                <w:bCs/>
                <w:lang w:val="en-GB"/>
              </w:rPr>
              <w:t xml:space="preserve"> (such as</w:t>
            </w:r>
            <w:r w:rsidRPr="00F72E86">
              <w:rPr>
                <w:rFonts w:cs="Times New Roman"/>
                <w:bCs/>
                <w:lang w:val="en-GB"/>
              </w:rPr>
              <w:t xml:space="preserve"> the community, local and international NGOs, government</w:t>
            </w:r>
            <w:r>
              <w:rPr>
                <w:rFonts w:cs="Times New Roman"/>
                <w:bCs/>
                <w:lang w:val="en-GB"/>
              </w:rPr>
              <w:t>,</w:t>
            </w:r>
            <w:r w:rsidRPr="00F72E86">
              <w:rPr>
                <w:rFonts w:cs="Times New Roman"/>
                <w:bCs/>
                <w:lang w:val="en-GB"/>
              </w:rPr>
              <w:t xml:space="preserve"> etc.</w:t>
            </w:r>
            <w:r>
              <w:rPr>
                <w:rFonts w:cs="Times New Roman"/>
                <w:bCs/>
                <w:lang w:val="en-GB"/>
              </w:rPr>
              <w:t>).</w:t>
            </w:r>
          </w:p>
          <w:p w:rsidR="00C65EF9" w:rsidRPr="00CD5D6C" w:rsidRDefault="00C65EF9" w:rsidP="00192DCB">
            <w:pPr>
              <w:pStyle w:val="ListParagraph"/>
              <w:rPr>
                <w:lang w:eastAsia="en-AU"/>
              </w:rPr>
            </w:pPr>
          </w:p>
          <w:p w:rsidR="00C65EF9" w:rsidRPr="00CD5D6C" w:rsidRDefault="00C65EF9" w:rsidP="00192DCB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4.2 </w:t>
            </w:r>
            <w:r w:rsidRPr="00CD5D6C">
              <w:rPr>
                <w:lang w:eastAsia="en-AU"/>
              </w:rPr>
              <w:t xml:space="preserve">Document the issues and </w:t>
            </w:r>
            <w:r>
              <w:rPr>
                <w:lang w:eastAsia="en-AU"/>
              </w:rPr>
              <w:t xml:space="preserve">proposed solutions, </w:t>
            </w:r>
            <w:r w:rsidRPr="00CD5D6C">
              <w:rPr>
                <w:lang w:eastAsia="en-AU"/>
              </w:rPr>
              <w:t>and use the information to inform:</w:t>
            </w:r>
          </w:p>
          <w:p w:rsidR="00C65EF9" w:rsidRPr="00CD5D6C" w:rsidRDefault="00C65EF9" w:rsidP="00C65E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lang w:eastAsia="en-AU"/>
              </w:rPr>
            </w:pPr>
            <w:r w:rsidRPr="00CD5D6C">
              <w:rPr>
                <w:lang w:eastAsia="en-AU"/>
              </w:rPr>
              <w:t>Community safety planning</w:t>
            </w:r>
            <w:r>
              <w:rPr>
                <w:lang w:eastAsia="en-AU"/>
              </w:rPr>
              <w:t>;</w:t>
            </w:r>
          </w:p>
          <w:p w:rsidR="00C65EF9" w:rsidRDefault="00C65EF9" w:rsidP="00C65E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lang w:eastAsia="en-AU"/>
              </w:rPr>
            </w:pPr>
            <w:r>
              <w:rPr>
                <w:lang w:eastAsia="en-AU"/>
              </w:rPr>
              <w:t xml:space="preserve">Advocacy with duty </w:t>
            </w:r>
            <w:r w:rsidRPr="00CD5D6C">
              <w:rPr>
                <w:lang w:eastAsia="en-AU"/>
              </w:rPr>
              <w:t>bearers</w:t>
            </w:r>
            <w:r>
              <w:rPr>
                <w:lang w:eastAsia="en-AU"/>
              </w:rPr>
              <w:t xml:space="preserve"> and other actors/sectors; and</w:t>
            </w:r>
          </w:p>
          <w:p w:rsidR="00C65EF9" w:rsidRPr="00527FD1" w:rsidRDefault="00C65EF9" w:rsidP="00C65E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lang w:eastAsia="en-AU"/>
              </w:rPr>
            </w:pPr>
            <w:r>
              <w:rPr>
                <w:lang w:eastAsia="en-AU"/>
              </w:rPr>
              <w:t xml:space="preserve">UNICEF </w:t>
            </w:r>
            <w:r w:rsidRPr="00CD5D6C">
              <w:rPr>
                <w:lang w:eastAsia="en-AU"/>
              </w:rPr>
              <w:t>and partner programming</w:t>
            </w:r>
            <w:r>
              <w:rPr>
                <w:lang w:eastAsia="en-AU"/>
              </w:rPr>
              <w:t>.</w:t>
            </w:r>
          </w:p>
          <w:p w:rsidR="00C65EF9" w:rsidRPr="000C6BCD" w:rsidRDefault="00C65EF9" w:rsidP="00192DCB">
            <w:pPr>
              <w:pStyle w:val="ListParagraph"/>
              <w:rPr>
                <w:lang w:eastAsia="en-AU"/>
              </w:rPr>
            </w:pPr>
          </w:p>
        </w:tc>
      </w:tr>
    </w:tbl>
    <w:p w:rsidR="00C65EF9" w:rsidRDefault="00C65EF9" w:rsidP="00C65EF9"/>
    <w:p w:rsidR="00C65EF9" w:rsidRDefault="00C65EF9" w:rsidP="00C65EF9"/>
    <w:p w:rsidR="00C65EF9" w:rsidRDefault="00C65EF9" w:rsidP="00C65EF9"/>
    <w:p w:rsidR="00C65EF9" w:rsidRDefault="00C65EF9" w:rsidP="00C65EF9"/>
    <w:p w:rsidR="00C65EF9" w:rsidRDefault="00C65EF9" w:rsidP="00C65EF9"/>
    <w:p w:rsidR="00C65EF9" w:rsidRDefault="00C65EF9" w:rsidP="00C65EF9"/>
    <w:p w:rsidR="00C65EF9" w:rsidRDefault="00C65EF9" w:rsidP="00C65EF9">
      <w:pPr>
        <w:sectPr w:rsidR="00C65EF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1"/>
        <w:tblW w:w="13734" w:type="dxa"/>
        <w:tblInd w:w="-13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9492"/>
      </w:tblGrid>
      <w:tr w:rsidR="00C65EF9" w:rsidRPr="002F6455" w:rsidTr="00192DCB">
        <w:tc>
          <w:tcPr>
            <w:tcW w:w="13734" w:type="dxa"/>
            <w:gridSpan w:val="2"/>
            <w:tcBorders>
              <w:top w:val="nil"/>
              <w:left w:val="nil"/>
              <w:bottom w:val="single" w:sz="6" w:space="0" w:color="00B0F0"/>
              <w:right w:val="nil"/>
            </w:tcBorders>
            <w:shd w:val="clear" w:color="auto" w:fill="auto"/>
          </w:tcPr>
          <w:p w:rsidR="00C65EF9" w:rsidRPr="002F6455" w:rsidRDefault="00C65EF9" w:rsidP="00192DCB">
            <w:pPr>
              <w:tabs>
                <w:tab w:val="left" w:pos="1575"/>
                <w:tab w:val="left" w:pos="1680"/>
                <w:tab w:val="center" w:pos="6245"/>
              </w:tabs>
              <w:rPr>
                <w:b/>
                <w:szCs w:val="24"/>
              </w:rPr>
            </w:pPr>
            <w:r>
              <w:rPr>
                <w:lang w:bidi="ar-SA"/>
              </w:rPr>
              <w:lastRenderedPageBreak/>
              <w:br w:type="page"/>
            </w:r>
          </w:p>
        </w:tc>
      </w:tr>
      <w:tr w:rsidR="00C65EF9" w:rsidRPr="002F6455" w:rsidTr="00192DCB">
        <w:trPr>
          <w:trHeight w:val="675"/>
        </w:trPr>
        <w:tc>
          <w:tcPr>
            <w:tcW w:w="13734" w:type="dxa"/>
            <w:gridSpan w:val="2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00B0F0"/>
          </w:tcPr>
          <w:p w:rsidR="00C65EF9" w:rsidRDefault="00C65EF9" w:rsidP="00192DCB">
            <w:pPr>
              <w:spacing w:before="120"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Part B: Safety Issues and Solutions Log</w:t>
            </w:r>
          </w:p>
        </w:tc>
      </w:tr>
      <w:tr w:rsidR="00C65EF9" w:rsidRPr="002F6455" w:rsidTr="00192DCB">
        <w:trPr>
          <w:trHeight w:val="675"/>
        </w:trPr>
        <w:tc>
          <w:tcPr>
            <w:tcW w:w="13734" w:type="dxa"/>
            <w:gridSpan w:val="2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FFFFFF" w:themeFill="background1"/>
          </w:tcPr>
          <w:p w:rsidR="00C65EF9" w:rsidRDefault="00C65EF9" w:rsidP="00192DCB">
            <w:pPr>
              <w:tabs>
                <w:tab w:val="left" w:pos="1575"/>
                <w:tab w:val="left" w:pos="1680"/>
                <w:tab w:val="center" w:pos="6245"/>
              </w:tabs>
              <w:rPr>
                <w:b/>
                <w:szCs w:val="24"/>
              </w:rPr>
            </w:pPr>
          </w:p>
          <w:p w:rsidR="00C65EF9" w:rsidRPr="00B6659D" w:rsidRDefault="00C65EF9" w:rsidP="00192DCB">
            <w:pPr>
              <w:tabs>
                <w:tab w:val="left" w:pos="1575"/>
                <w:tab w:val="left" w:pos="1680"/>
                <w:tab w:val="center" w:pos="6245"/>
              </w:tabs>
              <w:rPr>
                <w:b/>
                <w:szCs w:val="24"/>
              </w:rPr>
            </w:pPr>
            <w:r w:rsidRPr="00B6659D">
              <w:rPr>
                <w:b/>
                <w:szCs w:val="24"/>
              </w:rPr>
              <w:t xml:space="preserve">Name of camp/community: </w:t>
            </w:r>
            <w:r w:rsidRPr="00B6659D">
              <w:rPr>
                <w:b/>
                <w:szCs w:val="24"/>
              </w:rPr>
              <w:softHyphen/>
            </w:r>
            <w:r w:rsidRPr="00B6659D">
              <w:rPr>
                <w:b/>
                <w:szCs w:val="24"/>
              </w:rPr>
              <w:softHyphen/>
            </w:r>
            <w:r w:rsidRPr="00B6659D">
              <w:rPr>
                <w:b/>
                <w:szCs w:val="24"/>
              </w:rPr>
              <w:softHyphen/>
            </w:r>
            <w:r w:rsidRPr="00B6659D">
              <w:rPr>
                <w:b/>
                <w:szCs w:val="24"/>
              </w:rPr>
              <w:softHyphen/>
            </w:r>
            <w:r w:rsidRPr="00B6659D">
              <w:rPr>
                <w:b/>
                <w:szCs w:val="24"/>
              </w:rPr>
              <w:softHyphen/>
            </w:r>
            <w:r w:rsidRPr="00B6659D">
              <w:rPr>
                <w:b/>
                <w:szCs w:val="24"/>
              </w:rPr>
              <w:softHyphen/>
            </w:r>
            <w:r w:rsidRPr="00B6659D">
              <w:rPr>
                <w:b/>
                <w:szCs w:val="24"/>
              </w:rPr>
              <w:softHyphen/>
            </w:r>
            <w:r w:rsidRPr="00B6659D">
              <w:rPr>
                <w:b/>
                <w:szCs w:val="24"/>
              </w:rPr>
              <w:softHyphen/>
            </w:r>
            <w:r w:rsidRPr="00B6659D">
              <w:rPr>
                <w:b/>
                <w:szCs w:val="24"/>
              </w:rPr>
              <w:softHyphen/>
            </w:r>
            <w:r w:rsidRPr="00B6659D">
              <w:rPr>
                <w:b/>
                <w:szCs w:val="24"/>
              </w:rPr>
              <w:softHyphen/>
            </w:r>
            <w:r w:rsidRPr="00B6659D">
              <w:rPr>
                <w:b/>
                <w:szCs w:val="24"/>
              </w:rPr>
              <w:softHyphen/>
            </w:r>
            <w:r w:rsidRPr="00B6659D">
              <w:rPr>
                <w:b/>
                <w:szCs w:val="24"/>
              </w:rPr>
              <w:softHyphen/>
            </w:r>
            <w:r w:rsidRPr="00B6659D">
              <w:rPr>
                <w:b/>
                <w:szCs w:val="24"/>
              </w:rPr>
              <w:softHyphen/>
            </w:r>
            <w:r w:rsidRPr="00B6659D">
              <w:rPr>
                <w:b/>
                <w:szCs w:val="24"/>
              </w:rPr>
              <w:softHyphen/>
            </w:r>
            <w:r w:rsidRPr="00B6659D">
              <w:rPr>
                <w:b/>
                <w:szCs w:val="24"/>
              </w:rPr>
              <w:softHyphen/>
            </w:r>
            <w:r w:rsidRPr="00B6659D">
              <w:rPr>
                <w:b/>
                <w:szCs w:val="24"/>
              </w:rPr>
              <w:softHyphen/>
            </w:r>
            <w:r w:rsidRPr="00B6659D">
              <w:rPr>
                <w:b/>
                <w:szCs w:val="24"/>
              </w:rPr>
              <w:softHyphen/>
            </w:r>
            <w:r w:rsidRPr="00B6659D">
              <w:rPr>
                <w:b/>
                <w:szCs w:val="24"/>
              </w:rPr>
              <w:softHyphen/>
            </w:r>
            <w:r w:rsidRPr="00B6659D">
              <w:rPr>
                <w:b/>
                <w:szCs w:val="24"/>
              </w:rPr>
              <w:softHyphen/>
            </w:r>
            <w:r w:rsidRPr="00B6659D">
              <w:rPr>
                <w:b/>
                <w:szCs w:val="24"/>
              </w:rPr>
              <w:softHyphen/>
              <w:t>____________________________________________________________________________________________________________________</w:t>
            </w:r>
          </w:p>
          <w:p w:rsidR="00C65EF9" w:rsidRPr="00B6659D" w:rsidRDefault="00C65EF9" w:rsidP="00192DCB">
            <w:pPr>
              <w:tabs>
                <w:tab w:val="left" w:pos="1575"/>
                <w:tab w:val="left" w:pos="1680"/>
                <w:tab w:val="center" w:pos="6245"/>
              </w:tabs>
              <w:rPr>
                <w:b/>
                <w:szCs w:val="24"/>
              </w:rPr>
            </w:pPr>
          </w:p>
          <w:p w:rsidR="00C65EF9" w:rsidRDefault="00C65EF9" w:rsidP="00192DCB">
            <w:pPr>
              <w:tabs>
                <w:tab w:val="left" w:pos="1575"/>
                <w:tab w:val="left" w:pos="1680"/>
                <w:tab w:val="center" w:pos="6245"/>
              </w:tabs>
              <w:rPr>
                <w:b/>
                <w:szCs w:val="24"/>
              </w:rPr>
            </w:pPr>
            <w:r w:rsidRPr="00B6659D">
              <w:rPr>
                <w:b/>
                <w:szCs w:val="24"/>
              </w:rPr>
              <w:t>Date(s) of assessment: ____________________________________________________     Completed by: ___________________</w:t>
            </w:r>
            <w:r>
              <w:rPr>
                <w:b/>
                <w:szCs w:val="24"/>
              </w:rPr>
              <w:t>_______________________________</w:t>
            </w:r>
          </w:p>
          <w:p w:rsidR="00C65EF9" w:rsidRPr="00527FD1" w:rsidRDefault="00C65EF9" w:rsidP="00192DCB">
            <w:pPr>
              <w:tabs>
                <w:tab w:val="left" w:pos="1575"/>
                <w:tab w:val="left" w:pos="1680"/>
                <w:tab w:val="center" w:pos="6245"/>
              </w:tabs>
              <w:rPr>
                <w:b/>
                <w:szCs w:val="24"/>
              </w:rPr>
            </w:pPr>
          </w:p>
        </w:tc>
      </w:tr>
      <w:tr w:rsidR="00C65EF9" w:rsidRPr="00086814" w:rsidTr="00192DCB">
        <w:trPr>
          <w:trHeight w:val="675"/>
        </w:trPr>
        <w:tc>
          <w:tcPr>
            <w:tcW w:w="4242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FFFFFF" w:themeFill="background1"/>
          </w:tcPr>
          <w:p w:rsidR="00C65EF9" w:rsidRPr="00086814" w:rsidRDefault="00C65EF9" w:rsidP="00192DCB">
            <w:pPr>
              <w:spacing w:before="120" w:after="120"/>
              <w:rPr>
                <w:b/>
              </w:rPr>
            </w:pPr>
            <w:r w:rsidRPr="00086814">
              <w:rPr>
                <w:b/>
              </w:rPr>
              <w:t>Safety issue/risk identified</w:t>
            </w:r>
          </w:p>
        </w:tc>
        <w:tc>
          <w:tcPr>
            <w:tcW w:w="9492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FFFFFF" w:themeFill="background1"/>
          </w:tcPr>
          <w:p w:rsidR="00C65EF9" w:rsidRPr="00086814" w:rsidRDefault="00C65EF9" w:rsidP="00192DCB">
            <w:pPr>
              <w:spacing w:before="120" w:after="120"/>
              <w:rPr>
                <w:b/>
              </w:rPr>
            </w:pPr>
            <w:r w:rsidRPr="00086814">
              <w:rPr>
                <w:b/>
              </w:rPr>
              <w:t>Solutions for reducing the risk/improving safety</w:t>
            </w:r>
          </w:p>
        </w:tc>
      </w:tr>
      <w:tr w:rsidR="00C65EF9" w:rsidTr="00192DCB">
        <w:tc>
          <w:tcPr>
            <w:tcW w:w="4242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:rsidR="00C65EF9" w:rsidRDefault="00C65EF9" w:rsidP="00192DCB"/>
        </w:tc>
        <w:tc>
          <w:tcPr>
            <w:tcW w:w="9492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:rsidR="00C65EF9" w:rsidRDefault="00C65EF9" w:rsidP="00192DCB"/>
        </w:tc>
      </w:tr>
      <w:tr w:rsidR="00C65EF9" w:rsidTr="00192DCB">
        <w:tc>
          <w:tcPr>
            <w:tcW w:w="4242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:rsidR="00C65EF9" w:rsidRDefault="00C65EF9" w:rsidP="00192DCB"/>
        </w:tc>
        <w:tc>
          <w:tcPr>
            <w:tcW w:w="9492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:rsidR="00C65EF9" w:rsidRDefault="00C65EF9" w:rsidP="00192DCB"/>
        </w:tc>
      </w:tr>
      <w:tr w:rsidR="00C65EF9" w:rsidTr="00192DCB">
        <w:tc>
          <w:tcPr>
            <w:tcW w:w="4242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:rsidR="00C65EF9" w:rsidRDefault="00C65EF9" w:rsidP="00192DCB"/>
        </w:tc>
        <w:tc>
          <w:tcPr>
            <w:tcW w:w="9492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:rsidR="00C65EF9" w:rsidRDefault="00C65EF9" w:rsidP="00192DCB"/>
        </w:tc>
      </w:tr>
      <w:tr w:rsidR="00C65EF9" w:rsidTr="00192DCB">
        <w:tc>
          <w:tcPr>
            <w:tcW w:w="4242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:rsidR="00C65EF9" w:rsidRDefault="00C65EF9" w:rsidP="00192DCB"/>
        </w:tc>
        <w:tc>
          <w:tcPr>
            <w:tcW w:w="9492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:rsidR="00C65EF9" w:rsidRDefault="00C65EF9" w:rsidP="00192DCB"/>
        </w:tc>
      </w:tr>
      <w:tr w:rsidR="00C65EF9" w:rsidTr="00192DCB">
        <w:tc>
          <w:tcPr>
            <w:tcW w:w="4242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:rsidR="00C65EF9" w:rsidRDefault="00C65EF9" w:rsidP="00192DCB"/>
        </w:tc>
        <w:tc>
          <w:tcPr>
            <w:tcW w:w="9492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:rsidR="00C65EF9" w:rsidRDefault="00C65EF9" w:rsidP="00192DCB"/>
        </w:tc>
      </w:tr>
      <w:tr w:rsidR="00C65EF9" w:rsidTr="00192DCB">
        <w:tc>
          <w:tcPr>
            <w:tcW w:w="4242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:rsidR="00C65EF9" w:rsidRDefault="00C65EF9" w:rsidP="00192DCB"/>
        </w:tc>
        <w:tc>
          <w:tcPr>
            <w:tcW w:w="9492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:rsidR="00C65EF9" w:rsidRDefault="00C65EF9" w:rsidP="00192DCB"/>
        </w:tc>
      </w:tr>
      <w:tr w:rsidR="00C65EF9" w:rsidTr="00192DCB">
        <w:tc>
          <w:tcPr>
            <w:tcW w:w="4242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:rsidR="00C65EF9" w:rsidRDefault="00C65EF9" w:rsidP="00192DCB"/>
        </w:tc>
        <w:tc>
          <w:tcPr>
            <w:tcW w:w="9492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:rsidR="00C65EF9" w:rsidRDefault="00C65EF9" w:rsidP="00192DCB"/>
        </w:tc>
      </w:tr>
      <w:tr w:rsidR="00C65EF9" w:rsidTr="00192DCB">
        <w:tc>
          <w:tcPr>
            <w:tcW w:w="4242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:rsidR="00C65EF9" w:rsidRDefault="00C65EF9" w:rsidP="00192DCB"/>
        </w:tc>
        <w:tc>
          <w:tcPr>
            <w:tcW w:w="9492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:rsidR="00C65EF9" w:rsidRDefault="00C65EF9" w:rsidP="00192DCB"/>
        </w:tc>
      </w:tr>
    </w:tbl>
    <w:p w:rsidR="00580554" w:rsidRDefault="00C65EF9">
      <w:r>
        <w:tab/>
      </w:r>
    </w:p>
    <w:sectPr w:rsidR="00580554" w:rsidSect="00C65E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algun Gothic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296"/>
    <w:multiLevelType w:val="hybridMultilevel"/>
    <w:tmpl w:val="A0BA96D4"/>
    <w:lvl w:ilvl="0" w:tplc="7AFC81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06DB5"/>
    <w:multiLevelType w:val="multilevel"/>
    <w:tmpl w:val="A094DC90"/>
    <w:lvl w:ilvl="0">
      <w:start w:val="4"/>
      <w:numFmt w:val="decimal"/>
      <w:lvlText w:val="%1"/>
      <w:lvlJc w:val="left"/>
      <w:pPr>
        <w:ind w:left="360" w:hanging="360"/>
      </w:pPr>
      <w:rPr>
        <w:rFonts w:ascii="Cambria" w:hAnsi="Cambria" w:cstheme="minorBidi" w:hint="default"/>
        <w:b/>
        <w:color w:val="7B7B7B" w:themeColor="accent3" w:themeShade="BF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mbria" w:hAnsi="Cambria" w:cstheme="minorBid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cstheme="minorBidi" w:hint="default"/>
        <w:b/>
        <w:color w:val="7B7B7B" w:themeColor="accent3" w:themeShade="B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cstheme="minorBidi" w:hint="default"/>
        <w:b/>
        <w:color w:val="7B7B7B" w:themeColor="accent3" w:themeShade="B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cstheme="minorBidi" w:hint="default"/>
        <w:b/>
        <w:color w:val="7B7B7B" w:themeColor="accent3" w:themeShade="B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cstheme="minorBidi" w:hint="default"/>
        <w:b/>
        <w:color w:val="7B7B7B" w:themeColor="accent3" w:themeShade="B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cstheme="minorBidi" w:hint="default"/>
        <w:b/>
        <w:color w:val="7B7B7B" w:themeColor="accent3" w:themeShade="B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cstheme="minorBidi" w:hint="default"/>
        <w:b/>
        <w:color w:val="7B7B7B" w:themeColor="accent3" w:themeShade="BF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cstheme="minorBidi" w:hint="default"/>
        <w:b/>
        <w:color w:val="7B7B7B" w:themeColor="accent3" w:themeShade="BF"/>
      </w:rPr>
    </w:lvl>
  </w:abstractNum>
  <w:abstractNum w:abstractNumId="2" w15:restartNumberingAfterBreak="0">
    <w:nsid w:val="263E6179"/>
    <w:multiLevelType w:val="multilevel"/>
    <w:tmpl w:val="353CD1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8D70AC"/>
    <w:multiLevelType w:val="multilevel"/>
    <w:tmpl w:val="A314E6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356D7B"/>
    <w:multiLevelType w:val="hybridMultilevel"/>
    <w:tmpl w:val="CDEEB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C6536"/>
    <w:multiLevelType w:val="hybridMultilevel"/>
    <w:tmpl w:val="43CC4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1704B"/>
    <w:multiLevelType w:val="hybridMultilevel"/>
    <w:tmpl w:val="69AA36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56B5E"/>
    <w:multiLevelType w:val="multilevel"/>
    <w:tmpl w:val="893A00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F9"/>
    <w:rsid w:val="00580554"/>
    <w:rsid w:val="00C6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D09D8"/>
  <w15:chartTrackingRefBased/>
  <w15:docId w15:val="{56C00CC2-DD07-4C72-93B4-0B8422A4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65EF9"/>
    <w:pPr>
      <w:spacing w:after="200" w:line="276" w:lineRule="auto"/>
    </w:pPr>
    <w:rPr>
      <w:rFonts w:ascii="Cambria" w:hAnsi="Cambria"/>
      <w:sz w:val="24"/>
      <w:lang w:val="en-AU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EF9"/>
    <w:pPr>
      <w:spacing w:before="200"/>
      <w:outlineLvl w:val="1"/>
    </w:pPr>
    <w:rPr>
      <w:rFonts w:eastAsiaTheme="majorEastAsia" w:cstheme="majorBidi"/>
      <w:b/>
      <w:bCs/>
      <w:color w:val="00B0F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5E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5EF9"/>
    <w:rPr>
      <w:rFonts w:ascii="Cambria" w:eastAsiaTheme="majorEastAsia" w:hAnsi="Cambria" w:cstheme="majorBidi"/>
      <w:b/>
      <w:bCs/>
      <w:color w:val="00B0F0"/>
      <w:sz w:val="28"/>
      <w:szCs w:val="26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65EF9"/>
    <w:rPr>
      <w:rFonts w:asciiTheme="majorHAnsi" w:eastAsiaTheme="majorEastAsia" w:hAnsiTheme="majorHAnsi" w:cstheme="majorBidi"/>
      <w:b/>
      <w:bCs/>
      <w:color w:val="4472C4" w:themeColor="accent1"/>
      <w:sz w:val="24"/>
      <w:lang w:val="en-AU" w:eastAsia="en-US"/>
    </w:rPr>
  </w:style>
  <w:style w:type="paragraph" w:styleId="ListParagraph">
    <w:name w:val="List Paragraph"/>
    <w:aliases w:val="Bullet List,FooterText,List Paragraph1,Colorful List - Accent 1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C65EF9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Colorful List - Accent 1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C65EF9"/>
    <w:rPr>
      <w:rFonts w:ascii="Cambria" w:hAnsi="Cambria"/>
      <w:sz w:val="24"/>
      <w:lang w:val="en-AU" w:eastAsia="en-US"/>
    </w:rPr>
  </w:style>
  <w:style w:type="table" w:styleId="TableGrid">
    <w:name w:val="Table Grid"/>
    <w:basedOn w:val="TableNormal"/>
    <w:rsid w:val="00C65EF9"/>
    <w:pPr>
      <w:spacing w:after="0" w:line="240" w:lineRule="auto"/>
    </w:pPr>
    <w:rPr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C65EF9"/>
    <w:pPr>
      <w:spacing w:before="200" w:after="0" w:line="240" w:lineRule="auto"/>
    </w:pPr>
    <w:rPr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12" Type="http://schemas.openxmlformats.org/officeDocument/2006/relationships/customXml" Target="../customXml/item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6192CA8317E1FF49B6A7FEB870A3A8D6" ma:contentTypeVersion="33" ma:contentTypeDescription="" ma:contentTypeScope="" ma:versionID="395ddac05b61b6f15a331cb2bfbf9998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http://schemas.microsoft.com/sharepoint/v4" xmlns:ns5="5858627f-d058-4b92-9b52-677b5fd7d454" xmlns:ns6="a438dd15-07ca-4cdc-82a3-f2206b92025e" targetNamespace="http://schemas.microsoft.com/office/2006/metadata/properties" ma:root="true" ma:fieldsID="d65fe1726b7670b5f91e5a4e5c3fcdd1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http://schemas.microsoft.com/sharepoint/v4"/>
    <xsd:import namespace="5858627f-d058-4b92-9b52-677b5fd7d454"/>
    <xsd:import namespace="a438dd15-07ca-4cdc-82a3-f2206b92025e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TaxKeywordTaxHTField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5:SharedWithUsers" minOccurs="0"/>
                <xsd:element ref="ns5:SharedWithDetails" minOccurs="0"/>
                <xsd:element ref="ns6:MediaServiceLocation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32;#Office of Emergency Prog.-456F|98de697e-6403-48a0-9bce-654c90399d04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e129f4a5-dc42-4d6e-b210-548907d0accc}" ma:internalName="TaxCatchAllLabel" ma:readOnly="true" ma:showField="CatchAllDataLabel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e129f4a5-dc42-4d6e-b210-548907d0accc}" ma:internalName="TaxCatchAll" ma:showField="CatchAllData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8627f-d058-4b92-9b52-677b5fd7d45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4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8dd15-07ca-4cdc-82a3-f2206b920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Emergency Prog.-456F</TermName>
          <TermId xmlns="http://schemas.microsoft.com/office/infopath/2007/PartnerControls">98de697e-6403-48a0-9bce-654c90399d04</TermId>
        </TermInfo>
      </Terms>
    </ga975397408f43e4b84ec8e5a598e523>
    <_dlc_DocId xmlns="5858627f-d058-4b92-9b52-677b5fd7d454">EMOPSGCCU-1435067120-27823</_dlc_DocId>
    <TaxCatchAll xmlns="ca283e0b-db31-4043-a2ef-b80661bf084a">
      <Value>3</Value>
    </TaxCatchAll>
    <_dlc_DocIdUrl xmlns="5858627f-d058-4b92-9b52-677b5fd7d454">
      <Url>https://unicef.sharepoint.com/teams/EMOPS-GCCU/_layouts/15/DocIdRedir.aspx?ID=EMOPSGCCU-1435067120-27823</Url>
      <Description>EMOPSGCCU-1435067120-27823</Description>
    </_dlc_DocIdUrl>
    <ContentLanguage xmlns="ca283e0b-db31-4043-a2ef-b80661bf084a">English</ContentLanguage>
    <TaxKeywordTaxHTField xmlns="5858627f-d058-4b92-9b52-677b5fd7d454">
      <Terms xmlns="http://schemas.microsoft.com/office/infopath/2007/PartnerControls"/>
    </TaxKeywordTaxHTField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</documentManagement>
</p:properties>
</file>

<file path=customXml/itemProps1.xml><?xml version="1.0" encoding="utf-8"?>
<ds:datastoreItem xmlns:ds="http://schemas.openxmlformats.org/officeDocument/2006/customXml" ds:itemID="{7D1CFB7D-F485-4B5A-A53A-26FE1A2A33D3}"/>
</file>

<file path=customXml/itemProps2.xml><?xml version="1.0" encoding="utf-8"?>
<ds:datastoreItem xmlns:ds="http://schemas.openxmlformats.org/officeDocument/2006/customXml" ds:itemID="{5B31F435-536A-48D7-9B81-F6584C46086C}"/>
</file>

<file path=customXml/itemProps3.xml><?xml version="1.0" encoding="utf-8"?>
<ds:datastoreItem xmlns:ds="http://schemas.openxmlformats.org/officeDocument/2006/customXml" ds:itemID="{A5A51487-35E2-440B-AAC6-274A3803C58E}"/>
</file>

<file path=customXml/itemProps4.xml><?xml version="1.0" encoding="utf-8"?>
<ds:datastoreItem xmlns:ds="http://schemas.openxmlformats.org/officeDocument/2006/customXml" ds:itemID="{3A862B4A-7E09-4133-B951-A100CD99948F}"/>
</file>

<file path=customXml/itemProps5.xml><?xml version="1.0" encoding="utf-8"?>
<ds:datastoreItem xmlns:ds="http://schemas.openxmlformats.org/officeDocument/2006/customXml" ds:itemID="{BC57FF47-218B-4910-A3E7-15D97E79A53E}"/>
</file>

<file path=customXml/itemProps6.xml><?xml version="1.0" encoding="utf-8"?>
<ds:datastoreItem xmlns:ds="http://schemas.openxmlformats.org/officeDocument/2006/customXml" ds:itemID="{825FA7CB-036F-4753-B4C8-9BAE492D14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Masumi Yamashina</dc:creator>
  <cp:keywords/>
  <dc:description/>
  <cp:lastModifiedBy>Masumi Yamashina</cp:lastModifiedBy>
  <cp:revision>1</cp:revision>
  <dcterms:created xsi:type="dcterms:W3CDTF">2018-07-13T08:38:00Z</dcterms:created>
  <dcterms:modified xsi:type="dcterms:W3CDTF">2018-07-13T08:39:00Z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0x0101009BA85F8052A6DA4FA3E31FF9F74C6970006192CA8317E1FF49B6A7FEB870A3A8D6</vt:lpwstr>
  </property>
  <property fmtid="{D5CDD505-2E9C-101B-9397-08002B2CF9AE}" pid="4" name="OfficeDivision">
    <vt:lpwstr>3;#Office of Emergency Prog.-456F|98de697e-6403-48a0-9bce-654c90399d04</vt:lpwstr>
  </property>
  <property fmtid="{D5CDD505-2E9C-101B-9397-08002B2CF9AE}" pid="5" name="_dlc_DocIdItemGuid">
    <vt:lpwstr>096ed1d5-8897-4324-9195-befdf4a0c52f</vt:lpwstr>
  </property>
</Properties>
</file>