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10"/>
        <w:gridCol w:w="4500"/>
        <w:tblGridChange w:id="0">
          <w:tblGrid>
            <w:gridCol w:w="8910"/>
            <w:gridCol w:w="4500"/>
          </w:tblGrid>
        </w:tblGridChange>
      </w:tblGrid>
      <w:tr>
        <w:trPr>
          <w:trHeight w:val="315" w:hRule="atLeast"/>
        </w:trPr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02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Remote Management and Supervision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/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shd w:fill="ffffff" w:val="clear"/>
              <w:spacing w:after="0" w:before="0" w:line="335.99999999999994" w:lineRule="auto"/>
              <w:rPr>
                <w:sz w:val="18"/>
                <w:szCs w:val="18"/>
              </w:rPr>
            </w:pPr>
            <w:bookmarkStart w:colFirst="0" w:colLast="0" w:name="_yb7pia26tdn3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Supervision using photos: Conducting simulated field visits for insecure locations in Somalia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sz w:val="18"/>
                <w:szCs w:val="18"/>
                <w:highlight w:val="white"/>
              </w:rPr>
            </w:pPr>
            <w:hyperlink r:id="rId6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https://odihpn.org/magazine/conducting-simulated-field-visits-for-insecure-locations-in-somalia/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Save the Children: Guideline for remote support on nutrition during COVID 19 pandemic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sz w:val="18"/>
                <w:szCs w:val="18"/>
                <w:highlight w:val="white"/>
              </w:rPr>
            </w:pP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https://resourcecentre.savethechildren.net/node/17550/pdf/guideline_for_remote_support_on_nutrition_during_covid_19_pandemic_v_1.0_fin_updated.pdf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ind w:left="0" w:firstLine="0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dihpn.org/magazine/conducting-simulated-field-visits-for-insecure-locations-in-somalia/" TargetMode="External"/><Relationship Id="rId7" Type="http://schemas.openxmlformats.org/officeDocument/2006/relationships/hyperlink" Target="https://resourcecentre.savethechildren.net/node/17550/pdf/guideline_for_remote_support_on_nutrition_during_covid_19_pandemic_v_1.0_fin_updat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