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p>
    <w:p w:rsidR="00000000" w:rsidDel="00000000" w:rsidP="00000000" w:rsidRDefault="00000000" w:rsidRPr="00000000" w14:paraId="00000002">
      <w:pPr>
        <w:jc w:val="both"/>
        <w:rPr>
          <w:sz w:val="18"/>
          <w:szCs w:val="18"/>
          <w:highlight w:val="white"/>
        </w:rPr>
      </w:pPr>
      <w:r w:rsidDel="00000000" w:rsidR="00000000" w:rsidRPr="00000000">
        <w:rPr>
          <w:rtl w:val="0"/>
        </w:rPr>
      </w:r>
    </w:p>
    <w:tbl>
      <w:tblPr>
        <w:tblStyle w:val="Table1"/>
        <w:tblW w:w="134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gridCol w:w="3690"/>
        <w:tblGridChange w:id="0">
          <w:tblGrid>
            <w:gridCol w:w="9735"/>
            <w:gridCol w:w="3690"/>
          </w:tblGrid>
        </w:tblGridChange>
      </w:tblGrid>
      <w:tr>
        <w:trPr>
          <w:trHeight w:val="380" w:hRule="atLeast"/>
        </w:trPr>
        <w:tc>
          <w:tcPr>
            <w:gridSpan w:val="2"/>
            <w:shd w:fill="434343" w:val="clear"/>
            <w:tcMar>
              <w:top w:w="100.0" w:type="dxa"/>
              <w:left w:w="100.0" w:type="dxa"/>
              <w:bottom w:w="100.0" w:type="dxa"/>
              <w:right w:w="100.0" w:type="dxa"/>
            </w:tcMar>
            <w:vAlign w:val="top"/>
          </w:tcPr>
          <w:p w:rsidR="00000000" w:rsidDel="00000000" w:rsidP="00000000" w:rsidRDefault="00000000" w:rsidRPr="00000000" w14:paraId="00000003">
            <w:pPr>
              <w:jc w:val="both"/>
              <w:rPr>
                <w:color w:val="ffffff"/>
                <w:sz w:val="18"/>
                <w:szCs w:val="18"/>
              </w:rPr>
            </w:pPr>
            <w:r w:rsidDel="00000000" w:rsidR="00000000" w:rsidRPr="00000000">
              <w:rPr>
                <w:b w:val="1"/>
                <w:color w:val="ffffff"/>
                <w:sz w:val="18"/>
                <w:szCs w:val="18"/>
                <w:rtl w:val="0"/>
              </w:rPr>
              <w:t xml:space="preserve">Tools and Mobile-based Apps for Training and Screening</w:t>
            </w:r>
            <w:r w:rsidDel="00000000" w:rsidR="00000000" w:rsidRPr="00000000">
              <w:rPr>
                <w:rtl w:val="0"/>
              </w:rPr>
            </w:r>
          </w:p>
        </w:tc>
      </w:tr>
      <w:tr>
        <w:trPr>
          <w:trHeight w:val="2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sz w:val="18"/>
                <w:szCs w:val="18"/>
              </w:rPr>
            </w:pPr>
            <w:r w:rsidDel="00000000" w:rsidR="00000000" w:rsidRPr="00000000">
              <w:rPr>
                <w:sz w:val="18"/>
                <w:szCs w:val="18"/>
                <w:rtl w:val="0"/>
              </w:rPr>
              <w:t xml:space="preserve">ACF’s mapping of mhealth apps for nutrition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sz w:val="18"/>
                <w:szCs w:val="18"/>
                <w:highlight w:val="white"/>
              </w:rPr>
            </w:pPr>
            <w:hyperlink r:id="rId6">
              <w:r w:rsidDel="00000000" w:rsidR="00000000" w:rsidRPr="00000000">
                <w:rPr>
                  <w:color w:val="1155cc"/>
                  <w:sz w:val="18"/>
                  <w:szCs w:val="18"/>
                  <w:highlight w:val="white"/>
                  <w:u w:val="single"/>
                  <w:rtl w:val="0"/>
                </w:rPr>
                <w:t xml:space="preserve">https://knowledgeagainsthunger.org/key-documents/nutrition-information-systems-review/ </w:t>
              </w:r>
            </w:hyperlink>
            <w:r w:rsidDel="00000000" w:rsidR="00000000" w:rsidRPr="00000000">
              <w:rPr>
                <w:rtl w:val="0"/>
              </w:rPr>
            </w:r>
          </w:p>
        </w:tc>
      </w:tr>
      <w:tr>
        <w:trPr>
          <w:trHeight w:val="2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jc w:val="both"/>
              <w:rPr>
                <w:sz w:val="18"/>
                <w:szCs w:val="18"/>
                <w:highlight w:val="white"/>
              </w:rPr>
            </w:pPr>
            <w:r w:rsidDel="00000000" w:rsidR="00000000" w:rsidRPr="00000000">
              <w:rPr>
                <w:sz w:val="18"/>
                <w:szCs w:val="18"/>
                <w:rtl w:val="0"/>
              </w:rPr>
              <w:t xml:space="preserve">Global Health Media -  library of videos which can be used to train CHWs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sz w:val="18"/>
                <w:szCs w:val="18"/>
                <w:highlight w:val="white"/>
              </w:rPr>
            </w:pPr>
            <w:hyperlink r:id="rId7">
              <w:r w:rsidDel="00000000" w:rsidR="00000000" w:rsidRPr="00000000">
                <w:rPr>
                  <w:color w:val="1155cc"/>
                  <w:sz w:val="18"/>
                  <w:szCs w:val="18"/>
                  <w:u w:val="single"/>
                  <w:rtl w:val="0"/>
                </w:rPr>
                <w:t xml:space="preserve">https://globalhealthmedia.org/videos/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sz w:val="18"/>
                <w:szCs w:val="18"/>
              </w:rPr>
            </w:pPr>
            <w:r w:rsidDel="00000000" w:rsidR="00000000" w:rsidRPr="00000000">
              <w:rPr>
                <w:sz w:val="18"/>
                <w:szCs w:val="18"/>
                <w:rtl w:val="0"/>
              </w:rPr>
              <w:t xml:space="preserve">Community Health Toolkit: </w:t>
            </w:r>
            <w:r w:rsidDel="00000000" w:rsidR="00000000" w:rsidRPr="00000000">
              <w:rPr>
                <w:sz w:val="18"/>
                <w:szCs w:val="18"/>
                <w:rtl w:val="0"/>
              </w:rPr>
              <w:t xml:space="preserve">is an app which uses smartphones to train CHWs. The tool has been developed by Medic Mobile, which includes volunteers from Stanford University’s Digital Medic team.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sz w:val="18"/>
                <w:szCs w:val="18"/>
              </w:rPr>
            </w:pPr>
            <w:hyperlink r:id="rId8">
              <w:r w:rsidDel="00000000" w:rsidR="00000000" w:rsidRPr="00000000">
                <w:rPr>
                  <w:color w:val="1155cc"/>
                  <w:sz w:val="18"/>
                  <w:szCs w:val="18"/>
                  <w:u w:val="single"/>
                  <w:rtl w:val="0"/>
                </w:rPr>
                <w:t xml:space="preserve">https://forum.communityhealthtoolkit.org/</w:t>
              </w:r>
            </w:hyperlink>
            <w:r w:rsidDel="00000000" w:rsidR="00000000" w:rsidRPr="00000000">
              <w:rPr>
                <w:rtl w:val="0"/>
              </w:rPr>
            </w:r>
          </w:p>
        </w:tc>
      </w:tr>
      <w:tr>
        <w:trPr>
          <w:trHeight w:val="3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Style w:val="Heading1"/>
              <w:keepNext w:val="0"/>
              <w:keepLines w:val="0"/>
              <w:widowControl w:val="0"/>
              <w:shd w:fill="ffffff" w:val="clear"/>
              <w:spacing w:before="0" w:line="240" w:lineRule="auto"/>
              <w:rPr>
                <w:b w:val="1"/>
                <w:sz w:val="18"/>
                <w:szCs w:val="18"/>
              </w:rPr>
            </w:pPr>
            <w:bookmarkStart w:colFirst="0" w:colLast="0" w:name="_lpr1ng83d1t7" w:id="0"/>
            <w:bookmarkEnd w:id="0"/>
            <w:r w:rsidDel="00000000" w:rsidR="00000000" w:rsidRPr="00000000">
              <w:rPr>
                <w:sz w:val="18"/>
                <w:szCs w:val="18"/>
                <w:rtl w:val="0"/>
              </w:rPr>
              <w:t xml:space="preserve">Enhancing the Supervision of Community Health Workers With WhatsApp Mobile Messaging: Qualitative Findings From 2 Low-Resource Settings in Kenya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jc w:val="both"/>
              <w:rPr>
                <w:sz w:val="18"/>
                <w:szCs w:val="18"/>
              </w:rPr>
            </w:pPr>
            <w:hyperlink r:id="rId9">
              <w:r w:rsidDel="00000000" w:rsidR="00000000" w:rsidRPr="00000000">
                <w:rPr>
                  <w:color w:val="1155cc"/>
                  <w:sz w:val="18"/>
                  <w:szCs w:val="18"/>
                  <w:highlight w:val="white"/>
                  <w:u w:val="single"/>
                  <w:rtl w:val="0"/>
                </w:rPr>
                <w:t xml:space="preserve">https://pubmed.ncbi.nlm.nih.gov/27353623/</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pStyle w:val="Heading1"/>
              <w:keepNext w:val="0"/>
              <w:keepLines w:val="0"/>
              <w:widowControl w:val="0"/>
              <w:shd w:fill="ffffff" w:val="clear"/>
              <w:spacing w:after="0" w:before="0" w:line="240" w:lineRule="auto"/>
              <w:rPr>
                <w:sz w:val="18"/>
                <w:szCs w:val="18"/>
              </w:rPr>
            </w:pPr>
            <w:bookmarkStart w:colFirst="0" w:colLast="0" w:name="_lpr1ng83d1t7" w:id="0"/>
            <w:bookmarkEnd w:id="0"/>
            <w:r w:rsidDel="00000000" w:rsidR="00000000" w:rsidRPr="00000000">
              <w:rPr>
                <w:sz w:val="18"/>
                <w:szCs w:val="18"/>
                <w:rtl w:val="0"/>
              </w:rPr>
              <w:t xml:space="preserve">Tips for Engaging Communities during COVID-19 in Low-Resource Settings, Remotely and In-Person. Includes use of Whatsapp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jc w:val="both"/>
              <w:rPr>
                <w:sz w:val="18"/>
                <w:szCs w:val="18"/>
                <w:highlight w:val="white"/>
              </w:rPr>
            </w:pPr>
            <w:hyperlink r:id="rId10">
              <w:r w:rsidDel="00000000" w:rsidR="00000000" w:rsidRPr="00000000">
                <w:rPr>
                  <w:color w:val="1155cc"/>
                  <w:sz w:val="18"/>
                  <w:szCs w:val="18"/>
                  <w:highlight w:val="white"/>
                  <w:u w:val="single"/>
                  <w:rtl w:val="0"/>
                </w:rPr>
                <w:t xml:space="preserve">https://www.thecompassforsbc.org/sites/default/files/strengthening_tools/WHO_CETipsCovid19_0.pdf</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pStyle w:val="Heading1"/>
              <w:keepNext w:val="0"/>
              <w:keepLines w:val="0"/>
              <w:widowControl w:val="0"/>
              <w:shd w:fill="ffffff" w:val="clear"/>
              <w:spacing w:after="240" w:before="0" w:line="300" w:lineRule="auto"/>
              <w:rPr>
                <w:sz w:val="18"/>
                <w:szCs w:val="18"/>
              </w:rPr>
            </w:pPr>
            <w:bookmarkStart w:colFirst="0" w:colLast="0" w:name="_dfejywudfeqf" w:id="1"/>
            <w:bookmarkEnd w:id="1"/>
            <w:r w:rsidDel="00000000" w:rsidR="00000000" w:rsidRPr="00000000">
              <w:rPr>
                <w:sz w:val="18"/>
                <w:szCs w:val="18"/>
                <w:rtl w:val="0"/>
              </w:rPr>
              <w:t xml:space="preserve">Mobile phone applications to overcome malnutrition among preschoolers: a systematic review</w:t>
            </w:r>
          </w:p>
          <w:p w:rsidR="00000000" w:rsidDel="00000000" w:rsidP="00000000" w:rsidRDefault="00000000" w:rsidRPr="00000000" w14:paraId="00000010">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sz w:val="18"/>
                <w:szCs w:val="18"/>
                <w:highlight w:val="white"/>
              </w:rPr>
            </w:pPr>
            <w:hyperlink r:id="rId11">
              <w:r w:rsidDel="00000000" w:rsidR="00000000" w:rsidRPr="00000000">
                <w:rPr>
                  <w:color w:val="1155cc"/>
                  <w:sz w:val="18"/>
                  <w:szCs w:val="18"/>
                  <w:highlight w:val="white"/>
                  <w:u w:val="single"/>
                  <w:rtl w:val="0"/>
                </w:rPr>
                <w:t xml:space="preserve">https://bmcmedinformdecismak.biomedcentral.com/articles/10.1186/s12911-019-0803-2</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pStyle w:val="Heading1"/>
              <w:keepNext w:val="0"/>
              <w:keepLines w:val="0"/>
              <w:widowControl w:val="0"/>
              <w:shd w:fill="ffffff" w:val="clear"/>
              <w:spacing w:after="240" w:before="0" w:line="300" w:lineRule="auto"/>
              <w:rPr>
                <w:sz w:val="18"/>
                <w:szCs w:val="18"/>
              </w:rPr>
            </w:pPr>
            <w:bookmarkStart w:colFirst="0" w:colLast="0" w:name="_dfejywudfeqf" w:id="1"/>
            <w:bookmarkEnd w:id="1"/>
            <w:r w:rsidDel="00000000" w:rsidR="00000000" w:rsidRPr="00000000">
              <w:rPr>
                <w:sz w:val="18"/>
                <w:szCs w:val="18"/>
                <w:rtl w:val="0"/>
              </w:rPr>
              <w:t xml:space="preserve">Evidence Report No 1. Reducing Hunger and Undernutrition. Using Mobile Phones for Nutrition Surveillance: A Review of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sz w:val="18"/>
                <w:szCs w:val="18"/>
                <w:highlight w:val="white"/>
              </w:rPr>
            </w:pPr>
            <w:hyperlink r:id="rId12">
              <w:r w:rsidDel="00000000" w:rsidR="00000000" w:rsidRPr="00000000">
                <w:rPr>
                  <w:color w:val="1155cc"/>
                  <w:sz w:val="18"/>
                  <w:szCs w:val="18"/>
                  <w:highlight w:val="white"/>
                  <w:u w:val="single"/>
                  <w:rtl w:val="0"/>
                </w:rPr>
                <w:t xml:space="preserve">https://opendocs.ids.ac.uk/opendocs/bitstream/handle/20.500.12413/2602/AGER1.pdf</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pStyle w:val="Heading1"/>
              <w:keepNext w:val="0"/>
              <w:keepLines w:val="0"/>
              <w:widowControl w:val="0"/>
              <w:shd w:fill="ffffff" w:val="clear"/>
              <w:spacing w:after="240" w:before="0" w:line="300" w:lineRule="auto"/>
              <w:rPr>
                <w:sz w:val="18"/>
                <w:szCs w:val="18"/>
              </w:rPr>
            </w:pPr>
            <w:bookmarkStart w:colFirst="0" w:colLast="0" w:name="_dfejywudfeqf" w:id="1"/>
            <w:bookmarkEnd w:id="1"/>
            <w:r w:rsidDel="00000000" w:rsidR="00000000" w:rsidRPr="00000000">
              <w:rPr>
                <w:sz w:val="18"/>
                <w:szCs w:val="18"/>
                <w:rtl w:val="0"/>
              </w:rPr>
              <w:t xml:space="preserve">Transport Nutrition Working Paper: A mobile health application to manage acute malnutrition Lessons from developing and piloting the app in five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sz w:val="18"/>
                <w:szCs w:val="18"/>
                <w:highlight w:val="white"/>
              </w:rPr>
            </w:pPr>
            <w:hyperlink r:id="rId13">
              <w:r w:rsidDel="00000000" w:rsidR="00000000" w:rsidRPr="00000000">
                <w:rPr>
                  <w:color w:val="1155cc"/>
                  <w:sz w:val="18"/>
                  <w:szCs w:val="18"/>
                  <w:highlight w:val="white"/>
                  <w:u w:val="single"/>
                  <w:rtl w:val="0"/>
                </w:rPr>
                <w:t xml:space="preserve">http://www.transformnutrition.org/wp-content/uploads/sites/3/2017/04/TN_WorkingPaper1_MobileApp_Online.pdf</w:t>
              </w:r>
            </w:hyperlink>
            <w:r w:rsidDel="00000000" w:rsidR="00000000" w:rsidRPr="00000000">
              <w:rPr>
                <w:rtl w:val="0"/>
              </w:rPr>
            </w:r>
          </w:p>
          <w:p w:rsidR="00000000" w:rsidDel="00000000" w:rsidP="00000000" w:rsidRDefault="00000000" w:rsidRPr="00000000" w14:paraId="00000016">
            <w:pPr>
              <w:rPr>
                <w:sz w:val="18"/>
                <w:szCs w:val="18"/>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pStyle w:val="Heading1"/>
              <w:keepNext w:val="0"/>
              <w:keepLines w:val="0"/>
              <w:widowControl w:val="0"/>
              <w:shd w:fill="ffffff" w:val="clear"/>
              <w:spacing w:after="0" w:before="0" w:line="240" w:lineRule="auto"/>
              <w:rPr>
                <w:sz w:val="18"/>
                <w:szCs w:val="18"/>
                <w:vertAlign w:val="superscript"/>
              </w:rPr>
            </w:pPr>
            <w:bookmarkStart w:colFirst="0" w:colLast="0" w:name="_n130m23pnw4y" w:id="2"/>
            <w:bookmarkEnd w:id="2"/>
            <w:r w:rsidDel="00000000" w:rsidR="00000000" w:rsidRPr="00000000">
              <w:rPr>
                <w:sz w:val="18"/>
                <w:szCs w:val="18"/>
                <w:rtl w:val="0"/>
              </w:rPr>
              <w:t xml:space="preserve">Clinical evaluation of the use of an mhealth intervention on quality of care provided by Community Health Workers in southwest Niger</w:t>
            </w:r>
            <w:r w:rsidDel="00000000" w:rsidR="00000000" w:rsidRPr="00000000">
              <w:rPr>
                <w:sz w:val="18"/>
                <w:szCs w:val="18"/>
                <w:rtl w:val="0"/>
              </w:rPr>
              <w:t xml:space="preserve"> </w:t>
            </w:r>
            <w:hyperlink r:id="rId14">
              <w:r w:rsidDel="00000000" w:rsidR="00000000" w:rsidRPr="00000000">
                <w:rPr>
                  <w:sz w:val="18"/>
                  <w:szCs w:val="18"/>
                  <w:rtl w:val="0"/>
                </w:rPr>
                <w:t xml:space="preserve">J Glob Health</w:t>
              </w:r>
            </w:hyperlink>
            <w:r w:rsidDel="00000000" w:rsidR="00000000" w:rsidRPr="00000000">
              <w:rPr>
                <w:sz w:val="18"/>
                <w:szCs w:val="18"/>
                <w:rtl w:val="0"/>
              </w:rPr>
              <w:t xml:space="preserve">. 2019 Jun; 9(1): 010812. Published online 2019 Jun 25. doi: </w:t>
            </w:r>
            <w:hyperlink r:id="rId15">
              <w:r w:rsidDel="00000000" w:rsidR="00000000" w:rsidRPr="00000000">
                <w:rPr>
                  <w:sz w:val="18"/>
                  <w:szCs w:val="18"/>
                  <w:rtl w:val="0"/>
                </w:rPr>
                <w:t xml:space="preserve">10.7189/jogh.09.010812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sz w:val="18"/>
                <w:szCs w:val="18"/>
                <w:highlight w:val="white"/>
              </w:rPr>
            </w:pPr>
            <w:hyperlink r:id="rId16">
              <w:r w:rsidDel="00000000" w:rsidR="00000000" w:rsidRPr="00000000">
                <w:rPr>
                  <w:color w:val="1155cc"/>
                  <w:sz w:val="18"/>
                  <w:szCs w:val="18"/>
                  <w:highlight w:val="white"/>
                  <w:u w:val="single"/>
                  <w:rtl w:val="0"/>
                </w:rPr>
                <w:t xml:space="preserve">https://www.ncbi.nlm.nih.gov/pmc/articles/PMC6594719/</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shd w:fill="ffffff" w:val="clear"/>
              <w:rPr>
                <w:b w:val="1"/>
                <w:color w:val="201f1e"/>
                <w:sz w:val="18"/>
                <w:szCs w:val="18"/>
              </w:rPr>
            </w:pPr>
            <w:r w:rsidDel="00000000" w:rsidR="00000000" w:rsidRPr="00000000">
              <w:rPr>
                <w:color w:val="201f1e"/>
                <w:sz w:val="18"/>
                <w:szCs w:val="18"/>
                <w:rtl w:val="0"/>
              </w:rPr>
              <w:t xml:space="preserve">Translators Without Borders are working with the Community Health Academy to translate their Covid-19 online content for CHWs into languages including Swahili, Arabic, Hindi and Portuguese: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hd w:fill="ffffff" w:val="clear"/>
              <w:rPr>
                <w:sz w:val="18"/>
                <w:szCs w:val="18"/>
              </w:rPr>
            </w:pPr>
            <w:hyperlink r:id="rId17">
              <w:r w:rsidDel="00000000" w:rsidR="00000000" w:rsidRPr="00000000">
                <w:rPr>
                  <w:color w:val="1155cc"/>
                  <w:sz w:val="18"/>
                  <w:szCs w:val="18"/>
                  <w:u w:val="single"/>
                  <w:rtl w:val="0"/>
                </w:rPr>
                <w:t xml:space="preserve">https://communityhealthacademy.course.tc</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shd w:fill="ffffff" w:val="clear"/>
              <w:rPr>
                <w:b w:val="1"/>
                <w:color w:val="201f1e"/>
                <w:sz w:val="18"/>
                <w:szCs w:val="18"/>
              </w:rPr>
            </w:pPr>
            <w:r w:rsidDel="00000000" w:rsidR="00000000" w:rsidRPr="00000000">
              <w:rPr>
                <w:color w:val="201f1e"/>
                <w:sz w:val="18"/>
                <w:szCs w:val="18"/>
                <w:rtl w:val="0"/>
              </w:rPr>
              <w:t xml:space="preserve">WHO's </w:t>
            </w:r>
            <w:hyperlink r:id="rId18">
              <w:r w:rsidDel="00000000" w:rsidR="00000000" w:rsidRPr="00000000">
                <w:rPr>
                  <w:color w:val="1155cc"/>
                  <w:sz w:val="18"/>
                  <w:szCs w:val="18"/>
                  <w:u w:val="single"/>
                  <w:rtl w:val="0"/>
                </w:rPr>
                <w:t xml:space="preserve">OpenWHO.org</w:t>
              </w:r>
            </w:hyperlink>
            <w:r w:rsidDel="00000000" w:rsidR="00000000" w:rsidRPr="00000000">
              <w:rPr>
                <w:color w:val="201f1e"/>
                <w:sz w:val="18"/>
                <w:szCs w:val="18"/>
                <w:rtl w:val="0"/>
              </w:rPr>
              <w:t xml:space="preserve"> website contains a wide range of training resources for health workers, including on Covid-19, in languages from traditional Chinese to Lingala.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hd w:fill="ffffff" w:val="clear"/>
              <w:rPr>
                <w:sz w:val="18"/>
                <w:szCs w:val="18"/>
              </w:rPr>
            </w:pPr>
            <w:hyperlink r:id="rId19">
              <w:r w:rsidDel="00000000" w:rsidR="00000000" w:rsidRPr="00000000">
                <w:rPr>
                  <w:color w:val="1155cc"/>
                  <w:sz w:val="18"/>
                  <w:szCs w:val="18"/>
                  <w:u w:val="single"/>
                  <w:rtl w:val="0"/>
                </w:rPr>
                <w:t xml:space="preserve">https://openwho.org/</w:t>
              </w:r>
            </w:hyperlink>
            <w:r w:rsidDel="00000000" w:rsidR="00000000" w:rsidRPr="00000000">
              <w:rPr>
                <w:rtl w:val="0"/>
              </w:rPr>
            </w:r>
          </w:p>
        </w:tc>
      </w:tr>
      <w:tr>
        <w:trPr>
          <w:trHeight w:val="380" w:hRule="atLeast"/>
        </w:trPr>
        <w:tc>
          <w:tcPr>
            <w:gridSpan w:val="2"/>
            <w:tcMar>
              <w:top w:w="100.0" w:type="dxa"/>
              <w:left w:w="100.0" w:type="dxa"/>
              <w:bottom w:w="100.0" w:type="dxa"/>
              <w:right w:w="100.0" w:type="dxa"/>
            </w:tcMar>
            <w:vAlign w:val="top"/>
          </w:tcPr>
          <w:p w:rsidR="00000000" w:rsidDel="00000000" w:rsidP="00000000" w:rsidRDefault="00000000" w:rsidRPr="00000000" w14:paraId="0000001D">
            <w:pPr>
              <w:shd w:fill="ffffff" w:val="clear"/>
              <w:rPr>
                <w:b w:val="1"/>
                <w:i w:val="1"/>
                <w:color w:val="38761d"/>
                <w:sz w:val="18"/>
                <w:szCs w:val="18"/>
              </w:rPr>
            </w:pPr>
            <w:r w:rsidDel="00000000" w:rsidR="00000000" w:rsidRPr="00000000">
              <w:rPr>
                <w:b w:val="1"/>
                <w:i w:val="1"/>
                <w:color w:val="38761d"/>
                <w:sz w:val="18"/>
                <w:szCs w:val="18"/>
                <w:rtl w:val="0"/>
              </w:rPr>
              <w:t xml:space="preserve">Links to apps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sz w:val="18"/>
                <w:szCs w:val="18"/>
              </w:rPr>
            </w:pPr>
            <w:r w:rsidDel="00000000" w:rsidR="00000000" w:rsidRPr="00000000">
              <w:rPr>
                <w:sz w:val="18"/>
                <w:szCs w:val="18"/>
                <w:rtl w:val="0"/>
              </w:rPr>
              <w:t xml:space="preserve">Viamo is a mass messaging service that allows users to push messages out to huge numbers of people through SMS, integrated voice response (IVR) and other channels and it works on all phone types (smart and 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sz w:val="18"/>
                <w:szCs w:val="18"/>
              </w:rPr>
            </w:pPr>
            <w:hyperlink r:id="rId20">
              <w:r w:rsidDel="00000000" w:rsidR="00000000" w:rsidRPr="00000000">
                <w:rPr>
                  <w:color w:val="1155cc"/>
                  <w:sz w:val="18"/>
                  <w:szCs w:val="18"/>
                  <w:u w:val="single"/>
                  <w:rtl w:val="0"/>
                </w:rPr>
                <w:t xml:space="preserve">https://viamo.io/</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sz w:val="18"/>
                <w:szCs w:val="18"/>
              </w:rPr>
            </w:pPr>
            <w:r w:rsidDel="00000000" w:rsidR="00000000" w:rsidRPr="00000000">
              <w:rPr>
                <w:sz w:val="18"/>
                <w:szCs w:val="18"/>
                <w:rtl w:val="0"/>
              </w:rPr>
              <w:t xml:space="preserve">Commcare is a data collection and training tool with specialist services for health programming. CommCare is an open source solution by Dimagi.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sz w:val="18"/>
                <w:szCs w:val="18"/>
              </w:rPr>
            </w:pPr>
            <w:hyperlink r:id="rId21">
              <w:r w:rsidDel="00000000" w:rsidR="00000000" w:rsidRPr="00000000">
                <w:rPr>
                  <w:color w:val="1155cc"/>
                  <w:sz w:val="18"/>
                  <w:szCs w:val="18"/>
                  <w:u w:val="single"/>
                  <w:rtl w:val="0"/>
                </w:rPr>
                <w:t xml:space="preserve">https://www.dimagi.com/commcare/</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shd w:fill="ffffff" w:val="clear"/>
              <w:rPr>
                <w:color w:val="201f1e"/>
                <w:sz w:val="18"/>
                <w:szCs w:val="18"/>
              </w:rPr>
            </w:pPr>
            <w:r w:rsidDel="00000000" w:rsidR="00000000" w:rsidRPr="00000000">
              <w:rPr>
                <w:b w:val="1"/>
                <w:color w:val="201f1e"/>
                <w:sz w:val="18"/>
                <w:szCs w:val="18"/>
                <w:rtl w:val="0"/>
              </w:rPr>
              <w:t xml:space="preserve">AMREF’s LEAP app </w:t>
            </w:r>
            <w:r w:rsidDel="00000000" w:rsidR="00000000" w:rsidRPr="00000000">
              <w:rPr>
                <w:color w:val="201f1e"/>
                <w:sz w:val="18"/>
                <w:szCs w:val="18"/>
                <w:rtl w:val="0"/>
              </w:rPr>
              <w:t xml:space="preserve">is for CHWs. Their information centre has multilingual content on COVID 19. The site can be viewed in 19 languages, including French, Arabic, Igbo, Swahili, and Zulu</w:t>
            </w:r>
          </w:p>
          <w:p w:rsidR="00000000" w:rsidDel="00000000" w:rsidP="00000000" w:rsidRDefault="00000000" w:rsidRPr="00000000" w14:paraId="00000024">
            <w:pPr>
              <w:shd w:fill="ffffff" w:val="clear"/>
              <w:rPr>
                <w:sz w:val="18"/>
                <w:szCs w:val="18"/>
              </w:rPr>
            </w:pPr>
            <w:hyperlink r:id="rId22">
              <w:r w:rsidDel="00000000" w:rsidR="00000000" w:rsidRPr="00000000">
                <w:rPr>
                  <w:color w:val="1155cc"/>
                  <w:sz w:val="18"/>
                  <w:szCs w:val="18"/>
                  <w:u w:val="single"/>
                  <w:rtl w:val="0"/>
                </w:rPr>
                <w:t xml:space="preserve">https://amrefuk.org/what-we-do/latest-news/amref-launches-covid19-africa-information-centre-coronavirus/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hd w:fill="ffffff" w:val="clear"/>
              <w:rPr>
                <w:sz w:val="18"/>
                <w:szCs w:val="18"/>
                <w:highlight w:val="white"/>
              </w:rPr>
            </w:pPr>
            <w:hyperlink r:id="rId23">
              <w:r w:rsidDel="00000000" w:rsidR="00000000" w:rsidRPr="00000000">
                <w:rPr>
                  <w:color w:val="1155cc"/>
                  <w:sz w:val="18"/>
                  <w:szCs w:val="18"/>
                  <w:u w:val="single"/>
                  <w:rtl w:val="0"/>
                </w:rPr>
                <w:t xml:space="preserve">https://amref.org/enterprises/our-products/leap/</w:t>
              </w:r>
            </w:hyperlink>
            <w:r w:rsidDel="00000000" w:rsidR="00000000" w:rsidRPr="00000000">
              <w:rPr>
                <w:rtl w:val="0"/>
              </w:rPr>
            </w:r>
          </w:p>
        </w:tc>
      </w:tr>
    </w:tbl>
    <w:p w:rsidR="00000000" w:rsidDel="00000000" w:rsidP="00000000" w:rsidRDefault="00000000" w:rsidRPr="00000000" w14:paraId="00000026">
      <w:pPr>
        <w:shd w:fill="ffffff" w:val="clear"/>
        <w:rPr>
          <w:sz w:val="18"/>
          <w:szCs w:val="18"/>
          <w:highlight w:val="white"/>
        </w:rPr>
      </w:pPr>
      <w:r w:rsidDel="00000000" w:rsidR="00000000" w:rsidRPr="00000000">
        <w:rPr>
          <w:rtl w:val="0"/>
        </w:rPr>
      </w:r>
    </w:p>
    <w:sectPr>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viamo.io/" TargetMode="External"/><Relationship Id="rId11" Type="http://schemas.openxmlformats.org/officeDocument/2006/relationships/hyperlink" Target="https://bmcmedinformdecismak.biomedcentral.com/articles/10.1186/s12911-019-0803-2" TargetMode="External"/><Relationship Id="rId22" Type="http://schemas.openxmlformats.org/officeDocument/2006/relationships/hyperlink" Target="https://amrefuk.org/what-we-do/latest-news/amref-launches-covid19-africa-information-centre-coronavirus/" TargetMode="External"/><Relationship Id="rId10" Type="http://schemas.openxmlformats.org/officeDocument/2006/relationships/hyperlink" Target="https://www.thecompassforsbc.org/sites/default/files/strengthening_tools/WHO_CETipsCovid19_0.pdf" TargetMode="External"/><Relationship Id="rId21" Type="http://schemas.openxmlformats.org/officeDocument/2006/relationships/hyperlink" Target="https://www.dimagi.com/commcare/" TargetMode="External"/><Relationship Id="rId13" Type="http://schemas.openxmlformats.org/officeDocument/2006/relationships/hyperlink" Target="http://www.transformnutrition.org/wp-content/uploads/sites/3/2017/04/TN_WorkingPaper1_MobileApp_Online.pdf" TargetMode="External"/><Relationship Id="rId12" Type="http://schemas.openxmlformats.org/officeDocument/2006/relationships/hyperlink" Target="https://opendocs.ids.ac.uk/opendocs/bitstream/handle/20.500.12413/2602/AGER1.pdf" TargetMode="External"/><Relationship Id="rId23" Type="http://schemas.openxmlformats.org/officeDocument/2006/relationships/hyperlink" Target="https://amref.org/enterprises/our-products/lea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27353623/" TargetMode="External"/><Relationship Id="rId15" Type="http://schemas.openxmlformats.org/officeDocument/2006/relationships/hyperlink" Target="https://dx.doi.org/10.7189%2Fjogh.09.010812" TargetMode="External"/><Relationship Id="rId14" Type="http://schemas.openxmlformats.org/officeDocument/2006/relationships/hyperlink" Target="https://www.ncbi.nlm.nih.gov/pmc/articles/PMC6594719/#" TargetMode="External"/><Relationship Id="rId17" Type="http://schemas.openxmlformats.org/officeDocument/2006/relationships/hyperlink" Target="https://communityhealthacademy.course.tc/" TargetMode="External"/><Relationship Id="rId16" Type="http://schemas.openxmlformats.org/officeDocument/2006/relationships/hyperlink" Target="https://www.ncbi.nlm.nih.gov/pmc/articles/PMC6594719/" TargetMode="External"/><Relationship Id="rId5" Type="http://schemas.openxmlformats.org/officeDocument/2006/relationships/styles" Target="styles.xml"/><Relationship Id="rId19" Type="http://schemas.openxmlformats.org/officeDocument/2006/relationships/hyperlink" Target="https://openwho.org/" TargetMode="External"/><Relationship Id="rId6" Type="http://schemas.openxmlformats.org/officeDocument/2006/relationships/hyperlink" Target="https://knowledgeagainsthunger.org/key-documents/nutrition-information-systems-review/" TargetMode="External"/><Relationship Id="rId18" Type="http://schemas.openxmlformats.org/officeDocument/2006/relationships/hyperlink" Target="http://openwho.org/" TargetMode="External"/><Relationship Id="rId7" Type="http://schemas.openxmlformats.org/officeDocument/2006/relationships/hyperlink" Target="https://globalhealthmedia.org/videos/" TargetMode="External"/><Relationship Id="rId8" Type="http://schemas.openxmlformats.org/officeDocument/2006/relationships/hyperlink" Target="https://forum.communityhealthtoolkit.org/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