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CC437" w14:textId="77777777" w:rsidR="00783F72" w:rsidRPr="00783F72" w:rsidRDefault="00783F72" w:rsidP="001B130B">
      <w:pPr>
        <w:shd w:val="clear" w:color="auto" w:fill="FFFFFF"/>
        <w:spacing w:after="0" w:line="240" w:lineRule="auto"/>
        <w:jc w:val="center"/>
        <w:rPr>
          <w:rFonts w:eastAsia="Times New Roman" w:cs="Arial"/>
          <w:color w:val="92D050"/>
          <w:sz w:val="24"/>
          <w:szCs w:val="24"/>
        </w:rPr>
      </w:pPr>
    </w:p>
    <w:p w14:paraId="2699067C" w14:textId="31A85C61" w:rsidR="006F613F" w:rsidRPr="00202221" w:rsidRDefault="006F613F" w:rsidP="001B130B">
      <w:pPr>
        <w:shd w:val="clear" w:color="auto" w:fill="FFFFFF"/>
        <w:spacing w:after="0" w:line="240" w:lineRule="auto"/>
        <w:jc w:val="center"/>
        <w:rPr>
          <w:rFonts w:eastAsia="Times New Roman" w:cs="Arial"/>
          <w:color w:val="92D050"/>
          <w:sz w:val="24"/>
          <w:szCs w:val="24"/>
          <w:lang w:val="es-ES"/>
        </w:rPr>
      </w:pPr>
      <w:r w:rsidRPr="00202221">
        <w:rPr>
          <w:rFonts w:eastAsia="Times New Roman" w:cs="Arial"/>
          <w:color w:val="92D050"/>
          <w:sz w:val="24"/>
          <w:szCs w:val="24"/>
          <w:lang w:val="es-ES"/>
        </w:rPr>
        <w:t xml:space="preserve">Términos de referencia (TdR) </w:t>
      </w:r>
    </w:p>
    <w:p w14:paraId="19346DA1" w14:textId="0B5E7DC0" w:rsidR="00783F72" w:rsidRPr="00202221" w:rsidRDefault="00783F72" w:rsidP="001B130B">
      <w:pPr>
        <w:shd w:val="clear" w:color="auto" w:fill="FFFFFF"/>
        <w:spacing w:after="0" w:line="240" w:lineRule="auto"/>
        <w:jc w:val="center"/>
        <w:rPr>
          <w:rFonts w:eastAsia="Times New Roman" w:cs="Arial"/>
          <w:color w:val="548DD4" w:themeColor="text2" w:themeTint="99"/>
          <w:sz w:val="24"/>
          <w:szCs w:val="24"/>
          <w:lang w:val="es-ES"/>
        </w:rPr>
      </w:pPr>
    </w:p>
    <w:p w14:paraId="5582A423" w14:textId="52F4A487" w:rsidR="00783F72" w:rsidRPr="00202221" w:rsidRDefault="00783F72" w:rsidP="00783F72">
      <w:pPr>
        <w:jc w:val="center"/>
        <w:rPr>
          <w:lang w:val="es-ES"/>
        </w:rPr>
      </w:pPr>
      <w:r w:rsidRPr="00202221">
        <w:rPr>
          <w:lang w:val="es-ES"/>
        </w:rPr>
        <w:t xml:space="preserve">Grupo de </w:t>
      </w:r>
      <w:r w:rsidR="006D6400">
        <w:rPr>
          <w:lang w:val="es-ES"/>
        </w:rPr>
        <w:t>T</w:t>
      </w:r>
      <w:r w:rsidRPr="00202221">
        <w:rPr>
          <w:lang w:val="es-ES"/>
        </w:rPr>
        <w:t xml:space="preserve">rabajo </w:t>
      </w:r>
      <w:r w:rsidR="006D6400">
        <w:rPr>
          <w:lang w:val="es-ES"/>
        </w:rPr>
        <w:t>T</w:t>
      </w:r>
      <w:r w:rsidRPr="00202221">
        <w:rPr>
          <w:lang w:val="es-ES"/>
        </w:rPr>
        <w:t>écnico</w:t>
      </w:r>
      <w:r w:rsidR="0004715D">
        <w:rPr>
          <w:lang w:val="es-ES"/>
        </w:rPr>
        <w:t xml:space="preserve"> </w:t>
      </w:r>
      <w:r w:rsidRPr="00202221">
        <w:rPr>
          <w:lang w:val="es-ES"/>
        </w:rPr>
        <w:t xml:space="preserve">sobre </w:t>
      </w:r>
      <w:r w:rsidR="006D6400">
        <w:rPr>
          <w:lang w:val="es-ES"/>
        </w:rPr>
        <w:t>M</w:t>
      </w:r>
      <w:r w:rsidRPr="00202221">
        <w:rPr>
          <w:lang w:val="es-ES"/>
        </w:rPr>
        <w:t xml:space="preserve">icronutrientes </w:t>
      </w:r>
    </w:p>
    <w:p w14:paraId="430AF46F" w14:textId="77777777" w:rsidR="00783F72" w:rsidRPr="00202221" w:rsidRDefault="00783F72" w:rsidP="001B130B">
      <w:pPr>
        <w:shd w:val="clear" w:color="auto" w:fill="FFFFFF"/>
        <w:spacing w:after="0" w:line="240" w:lineRule="auto"/>
        <w:jc w:val="center"/>
        <w:rPr>
          <w:b/>
          <w:color w:val="548DD4" w:themeColor="text2" w:themeTint="99"/>
          <w:sz w:val="24"/>
          <w:szCs w:val="24"/>
          <w:lang w:val="es-ES"/>
        </w:rPr>
      </w:pPr>
    </w:p>
    <w:p w14:paraId="579A8668" w14:textId="77777777" w:rsidR="00323946" w:rsidRPr="00202221" w:rsidRDefault="00323946" w:rsidP="001B130B">
      <w:pPr>
        <w:shd w:val="clear" w:color="auto" w:fill="FFFFFF"/>
        <w:spacing w:after="0" w:line="240" w:lineRule="auto"/>
        <w:rPr>
          <w:b/>
          <w:lang w:val="es-ES"/>
        </w:rPr>
      </w:pPr>
      <w:r w:rsidRPr="00202221">
        <w:rPr>
          <w:b/>
          <w:lang w:val="es-ES"/>
        </w:rPr>
        <w:t xml:space="preserve">ANTECEDENTES </w:t>
      </w:r>
    </w:p>
    <w:p w14:paraId="05E63AE9" w14:textId="102D4BEE" w:rsidR="00323946" w:rsidRPr="00202221" w:rsidRDefault="00323946" w:rsidP="00A417DE">
      <w:pPr>
        <w:shd w:val="clear" w:color="auto" w:fill="FFFFFF"/>
        <w:spacing w:before="100" w:beforeAutospacing="1" w:after="225" w:line="240" w:lineRule="auto"/>
        <w:rPr>
          <w:rFonts w:eastAsia="Times New Roman"/>
          <w:i/>
          <w:color w:val="92D050"/>
          <w:sz w:val="20"/>
          <w:szCs w:val="20"/>
          <w:lang w:val="es-ES"/>
        </w:rPr>
      </w:pPr>
      <w:r w:rsidRPr="00202221">
        <w:rPr>
          <w:rFonts w:eastAsia="Times New Roman"/>
          <w:i/>
          <w:color w:val="92D050"/>
          <w:sz w:val="20"/>
          <w:szCs w:val="20"/>
          <w:lang w:val="es-ES"/>
        </w:rPr>
        <w:t>Antecedentes y justificación de la creación de este grupo</w:t>
      </w:r>
      <w:r w:rsidR="00BB6AE6" w:rsidRPr="00202221">
        <w:rPr>
          <w:rFonts w:eastAsia="Times New Roman"/>
          <w:i/>
          <w:color w:val="92D050"/>
          <w:sz w:val="20"/>
          <w:szCs w:val="20"/>
          <w:lang w:val="es-ES"/>
        </w:rPr>
        <w:t xml:space="preserve">. Incluya un resumen de cuándo y por qué se creó el grupo, su estructura y sus miembros. Un resumen de la situación </w:t>
      </w:r>
      <w:r w:rsidR="006E7E5B" w:rsidRPr="00202221">
        <w:rPr>
          <w:rFonts w:eastAsia="Times New Roman"/>
          <w:i/>
          <w:color w:val="92D050"/>
          <w:sz w:val="20"/>
          <w:szCs w:val="20"/>
          <w:lang w:val="es-ES"/>
        </w:rPr>
        <w:t xml:space="preserve">de las carencias de micronutrientes </w:t>
      </w:r>
      <w:r w:rsidR="00BB6AE6" w:rsidRPr="00202221">
        <w:rPr>
          <w:rFonts w:eastAsia="Times New Roman"/>
          <w:i/>
          <w:color w:val="92D050"/>
          <w:sz w:val="20"/>
          <w:szCs w:val="20"/>
          <w:lang w:val="es-ES"/>
        </w:rPr>
        <w:t xml:space="preserve">y la </w:t>
      </w:r>
      <w:r w:rsidR="00E411E8" w:rsidRPr="00202221">
        <w:rPr>
          <w:rFonts w:eastAsia="Times New Roman"/>
          <w:i/>
          <w:color w:val="92D050"/>
          <w:sz w:val="20"/>
          <w:szCs w:val="20"/>
          <w:lang w:val="es-ES"/>
        </w:rPr>
        <w:t xml:space="preserve">respuesta hasta la fecha, incluida </w:t>
      </w:r>
      <w:r w:rsidR="000D24C8" w:rsidRPr="00202221">
        <w:rPr>
          <w:rFonts w:eastAsia="Times New Roman"/>
          <w:i/>
          <w:color w:val="92D050"/>
          <w:sz w:val="20"/>
          <w:szCs w:val="20"/>
          <w:lang w:val="es-ES"/>
        </w:rPr>
        <w:t xml:space="preserve">la presencia o ausencia de </w:t>
      </w:r>
      <w:r w:rsidR="00BB6AE6" w:rsidRPr="00202221">
        <w:rPr>
          <w:rFonts w:eastAsia="Times New Roman"/>
          <w:i/>
          <w:color w:val="92D050"/>
          <w:sz w:val="20"/>
          <w:szCs w:val="20"/>
          <w:lang w:val="es-ES"/>
        </w:rPr>
        <w:t xml:space="preserve">protocolos y directrices. Explique también por qué se crea este grupo. </w:t>
      </w:r>
      <w:r w:rsidRPr="00202221">
        <w:rPr>
          <w:rFonts w:eastAsia="Times New Roman"/>
          <w:i/>
          <w:color w:val="92D050"/>
          <w:sz w:val="20"/>
          <w:szCs w:val="20"/>
          <w:lang w:val="es-ES"/>
        </w:rPr>
        <w:t>]</w:t>
      </w:r>
    </w:p>
    <w:p w14:paraId="6C6EA734" w14:textId="77777777" w:rsidR="001B130B" w:rsidRPr="00202221" w:rsidRDefault="001B130B" w:rsidP="001B130B">
      <w:pPr>
        <w:shd w:val="clear" w:color="auto" w:fill="FFFFFF"/>
        <w:spacing w:after="0" w:line="240" w:lineRule="auto"/>
        <w:rPr>
          <w:b/>
          <w:color w:val="92D050"/>
          <w:sz w:val="20"/>
          <w:szCs w:val="20"/>
          <w:lang w:val="es-ES"/>
        </w:rPr>
      </w:pPr>
    </w:p>
    <w:p w14:paraId="6C115652" w14:textId="77777777" w:rsidR="001B130B" w:rsidRPr="00202221" w:rsidRDefault="001B130B" w:rsidP="001B130B">
      <w:pPr>
        <w:shd w:val="clear" w:color="auto" w:fill="FFFFFF"/>
        <w:spacing w:after="0" w:line="240" w:lineRule="auto"/>
        <w:rPr>
          <w:b/>
          <w:lang w:val="es-ES"/>
        </w:rPr>
      </w:pPr>
      <w:r w:rsidRPr="00202221">
        <w:rPr>
          <w:b/>
          <w:lang w:val="es-ES"/>
        </w:rPr>
        <w:t>PROPÓSITO</w:t>
      </w:r>
    </w:p>
    <w:p w14:paraId="70297F4C" w14:textId="2F8ECB82" w:rsidR="00252006" w:rsidRPr="00202221" w:rsidRDefault="00783F72" w:rsidP="002C676F">
      <w:pPr>
        <w:shd w:val="clear" w:color="auto" w:fill="FFFFFF"/>
        <w:spacing w:before="100" w:beforeAutospacing="1" w:after="225" w:line="240" w:lineRule="auto"/>
        <w:rPr>
          <w:rFonts w:eastAsia="Times New Roman"/>
          <w:i/>
          <w:color w:val="92D050"/>
          <w:sz w:val="20"/>
          <w:szCs w:val="20"/>
          <w:lang w:val="es-ES"/>
        </w:rPr>
      </w:pPr>
      <w:r w:rsidRPr="00202221">
        <w:rPr>
          <w:rFonts w:eastAsia="Times New Roman" w:cs="Arial"/>
          <w:i/>
          <w:color w:val="92D050"/>
          <w:sz w:val="20"/>
          <w:szCs w:val="20"/>
          <w:lang w:val="es-ES"/>
        </w:rPr>
        <w:t xml:space="preserve">El </w:t>
      </w:r>
      <w:r w:rsidR="00813586" w:rsidRPr="00202221">
        <w:rPr>
          <w:rFonts w:eastAsia="Times New Roman" w:cs="Arial"/>
          <w:i/>
          <w:color w:val="92D050"/>
          <w:sz w:val="20"/>
          <w:szCs w:val="20"/>
          <w:lang w:val="es-ES"/>
        </w:rPr>
        <w:t xml:space="preserve">siguiente </w:t>
      </w:r>
      <w:r w:rsidR="00813586" w:rsidRPr="00202221">
        <w:rPr>
          <w:rFonts w:eastAsia="Times New Roman"/>
          <w:i/>
          <w:color w:val="92D050"/>
          <w:sz w:val="20"/>
          <w:szCs w:val="20"/>
          <w:lang w:val="es-ES"/>
        </w:rPr>
        <w:t>texto es adaptable y trata de responder a las siguientes preguntas: ¿Cuál es el objetivo principal del grupo? ¿Cuáles son los objetivos específicos del grupo?</w:t>
      </w:r>
      <w:r w:rsidR="00252006" w:rsidRPr="00202221">
        <w:rPr>
          <w:rFonts w:eastAsia="Times New Roman"/>
          <w:i/>
          <w:color w:val="92D050"/>
          <w:sz w:val="20"/>
          <w:szCs w:val="20"/>
          <w:lang w:val="es-ES"/>
        </w:rPr>
        <w:t xml:space="preserve"> ¿Cuál es el alcance del trabajo? </w:t>
      </w:r>
    </w:p>
    <w:p w14:paraId="0473BDF0" w14:textId="0E1CF5B3" w:rsidR="00252006" w:rsidRPr="00202221" w:rsidRDefault="00813586" w:rsidP="00813586">
      <w:pPr>
        <w:pStyle w:val="Default"/>
        <w:jc w:val="both"/>
        <w:rPr>
          <w:rFonts w:asciiTheme="minorHAnsi" w:eastAsia="Times New Roman" w:hAnsiTheme="minorHAnsi"/>
          <w:color w:val="92D050"/>
          <w:sz w:val="20"/>
          <w:szCs w:val="20"/>
          <w:lang w:val="es-ES"/>
        </w:rPr>
      </w:pPr>
      <w:r w:rsidRPr="00202221">
        <w:rPr>
          <w:rFonts w:asciiTheme="minorHAnsi" w:eastAsia="Times New Roman" w:hAnsiTheme="minorHAnsi"/>
          <w:i/>
          <w:color w:val="92D050"/>
          <w:sz w:val="20"/>
          <w:szCs w:val="20"/>
          <w:lang w:val="es-ES"/>
        </w:rPr>
        <w:t xml:space="preserve"> No se recomienda que el grupo sea absorbido completamente por la revisión o redacción de las directrices nacionales en materia de nutrición con el gobierno. Este trabajo es ciertamente muy importante y a veces necesario, pero si está tomando más tiempo del que el grupo puede permitirse</w:t>
      </w:r>
      <w:r w:rsidR="00A71F62" w:rsidRPr="00202221">
        <w:rPr>
          <w:rFonts w:asciiTheme="minorHAnsi" w:eastAsia="Times New Roman" w:hAnsiTheme="minorHAnsi"/>
          <w:i/>
          <w:color w:val="92D050"/>
          <w:sz w:val="20"/>
          <w:szCs w:val="20"/>
          <w:lang w:val="es-ES"/>
        </w:rPr>
        <w:t xml:space="preserve">, pida a </w:t>
      </w:r>
      <w:r w:rsidR="00BB6AE6" w:rsidRPr="00202221">
        <w:rPr>
          <w:rFonts w:asciiTheme="minorHAnsi" w:eastAsia="Times New Roman" w:hAnsiTheme="minorHAnsi"/>
          <w:i/>
          <w:color w:val="92D050"/>
          <w:sz w:val="20"/>
          <w:szCs w:val="20"/>
          <w:lang w:val="es-ES"/>
        </w:rPr>
        <w:t xml:space="preserve">UNICEF en el país, y a nivel regional y de la sede, así como al </w:t>
      </w:r>
      <w:r w:rsidR="00BE06E7">
        <w:rPr>
          <w:rFonts w:asciiTheme="minorHAnsi" w:eastAsia="Times New Roman" w:hAnsiTheme="minorHAnsi"/>
          <w:i/>
          <w:color w:val="92D050"/>
          <w:sz w:val="20"/>
          <w:szCs w:val="20"/>
          <w:lang w:val="es-ES"/>
        </w:rPr>
        <w:t xml:space="preserve">Grupo de Coordinación del </w:t>
      </w:r>
      <w:r w:rsidR="00087635">
        <w:rPr>
          <w:rFonts w:asciiTheme="minorHAnsi" w:eastAsia="Times New Roman" w:hAnsiTheme="minorHAnsi"/>
          <w:i/>
          <w:color w:val="92D050"/>
          <w:sz w:val="20"/>
          <w:szCs w:val="20"/>
          <w:lang w:val="es-ES"/>
        </w:rPr>
        <w:t xml:space="preserve">Cluster Global de Nutrición </w:t>
      </w:r>
      <w:r w:rsidR="00BE06E7">
        <w:rPr>
          <w:rFonts w:asciiTheme="minorHAnsi" w:eastAsia="Times New Roman" w:hAnsiTheme="minorHAnsi"/>
          <w:i/>
          <w:color w:val="92D050"/>
          <w:sz w:val="20"/>
          <w:szCs w:val="20"/>
          <w:lang w:val="es-ES"/>
        </w:rPr>
        <w:t>(</w:t>
      </w:r>
      <w:r w:rsidR="00A71F62" w:rsidRPr="00202221">
        <w:rPr>
          <w:rFonts w:asciiTheme="minorHAnsi" w:eastAsia="Times New Roman" w:hAnsiTheme="minorHAnsi"/>
          <w:i/>
          <w:color w:val="92D050"/>
          <w:sz w:val="20"/>
          <w:szCs w:val="20"/>
          <w:lang w:val="es-ES"/>
        </w:rPr>
        <w:t>GNC-CT</w:t>
      </w:r>
      <w:r w:rsidR="00BE06E7">
        <w:rPr>
          <w:rFonts w:asciiTheme="minorHAnsi" w:eastAsia="Times New Roman" w:hAnsiTheme="minorHAnsi"/>
          <w:i/>
          <w:color w:val="92D050"/>
          <w:sz w:val="20"/>
          <w:szCs w:val="20"/>
          <w:lang w:val="es-ES"/>
        </w:rPr>
        <w:t xml:space="preserve"> “Global Nutritrion Cluster Coordination Team”)</w:t>
      </w:r>
      <w:r w:rsidR="00A71F62" w:rsidRPr="00202221">
        <w:rPr>
          <w:rFonts w:asciiTheme="minorHAnsi" w:eastAsia="Times New Roman" w:hAnsiTheme="minorHAnsi"/>
          <w:i/>
          <w:color w:val="92D050"/>
          <w:sz w:val="20"/>
          <w:szCs w:val="20"/>
          <w:lang w:val="es-ES"/>
        </w:rPr>
        <w:t xml:space="preserve">, que ayuden a </w:t>
      </w:r>
      <w:r w:rsidRPr="00202221">
        <w:rPr>
          <w:rFonts w:asciiTheme="minorHAnsi" w:eastAsia="Times New Roman" w:hAnsiTheme="minorHAnsi"/>
          <w:i/>
          <w:color w:val="92D050"/>
          <w:sz w:val="20"/>
          <w:szCs w:val="20"/>
          <w:lang w:val="es-ES"/>
        </w:rPr>
        <w:t xml:space="preserve">encontrar soluciones alternativas que faciliten el trabajo de este grupo en relación con esta tarea. </w:t>
      </w:r>
      <w:r w:rsidR="002C676F" w:rsidRPr="00202221">
        <w:rPr>
          <w:rFonts w:asciiTheme="minorHAnsi" w:eastAsia="Times New Roman" w:hAnsiTheme="minorHAnsi"/>
          <w:color w:val="92D050"/>
          <w:sz w:val="20"/>
          <w:szCs w:val="20"/>
          <w:lang w:val="es-ES"/>
        </w:rPr>
        <w:t>]</w:t>
      </w:r>
    </w:p>
    <w:p w14:paraId="674A45CD" w14:textId="77777777" w:rsidR="00252006" w:rsidRPr="00202221" w:rsidRDefault="00252006" w:rsidP="00813586">
      <w:pPr>
        <w:pStyle w:val="Default"/>
        <w:jc w:val="both"/>
        <w:rPr>
          <w:rFonts w:asciiTheme="minorHAnsi" w:eastAsia="Times New Roman" w:hAnsiTheme="minorHAnsi"/>
          <w:color w:val="548DD4" w:themeColor="text2" w:themeTint="99"/>
          <w:sz w:val="20"/>
          <w:szCs w:val="20"/>
          <w:lang w:val="es-ES"/>
        </w:rPr>
      </w:pPr>
    </w:p>
    <w:p w14:paraId="2764C15A" w14:textId="43880282" w:rsidR="001B130B" w:rsidRPr="00202221" w:rsidRDefault="00B45BA9" w:rsidP="001B130B">
      <w:pPr>
        <w:spacing w:after="0" w:line="240" w:lineRule="auto"/>
        <w:rPr>
          <w:sz w:val="20"/>
          <w:szCs w:val="20"/>
          <w:lang w:val="es-ES"/>
        </w:rPr>
      </w:pPr>
      <w:r w:rsidRPr="00202221">
        <w:rPr>
          <w:sz w:val="20"/>
          <w:szCs w:val="20"/>
          <w:lang w:val="es-ES"/>
        </w:rPr>
        <w:t xml:space="preserve">El grupo de trabajo sobre </w:t>
      </w:r>
      <w:r w:rsidR="000D24C8" w:rsidRPr="00202221">
        <w:rPr>
          <w:sz w:val="20"/>
          <w:szCs w:val="20"/>
          <w:lang w:val="es-ES"/>
        </w:rPr>
        <w:t xml:space="preserve">micronutrientes </w:t>
      </w:r>
      <w:r w:rsidRPr="00202221">
        <w:rPr>
          <w:sz w:val="20"/>
          <w:szCs w:val="20"/>
          <w:lang w:val="es-ES"/>
        </w:rPr>
        <w:t xml:space="preserve">es un subgrupo del clúster de nutrición. El </w:t>
      </w:r>
      <w:r w:rsidR="001B130B" w:rsidRPr="00202221">
        <w:rPr>
          <w:sz w:val="20"/>
          <w:szCs w:val="20"/>
          <w:lang w:val="es-ES"/>
        </w:rPr>
        <w:t xml:space="preserve">objetivo principal de este grupo es reducir la mortalidad </w:t>
      </w:r>
      <w:r w:rsidR="0041096E" w:rsidRPr="00202221">
        <w:rPr>
          <w:sz w:val="20"/>
          <w:szCs w:val="20"/>
          <w:lang w:val="es-ES"/>
        </w:rPr>
        <w:t xml:space="preserve">y la morbilidad </w:t>
      </w:r>
      <w:r w:rsidR="001B130B" w:rsidRPr="00202221">
        <w:rPr>
          <w:sz w:val="20"/>
          <w:szCs w:val="20"/>
          <w:lang w:val="es-ES"/>
        </w:rPr>
        <w:t xml:space="preserve">por </w:t>
      </w:r>
      <w:r w:rsidR="001C2285" w:rsidRPr="00202221">
        <w:rPr>
          <w:sz w:val="20"/>
          <w:szCs w:val="20"/>
          <w:lang w:val="es-ES"/>
        </w:rPr>
        <w:t>deficiencias de mic</w:t>
      </w:r>
      <w:r w:rsidR="00F82953" w:rsidRPr="00202221">
        <w:rPr>
          <w:sz w:val="20"/>
          <w:szCs w:val="20"/>
          <w:lang w:val="es-ES"/>
        </w:rPr>
        <w:t xml:space="preserve">ronutrientes </w:t>
      </w:r>
      <w:r w:rsidR="001B130B" w:rsidRPr="00202221">
        <w:rPr>
          <w:sz w:val="20"/>
          <w:szCs w:val="20"/>
          <w:lang w:val="es-ES"/>
        </w:rPr>
        <w:t xml:space="preserve">en las </w:t>
      </w:r>
      <w:r w:rsidRPr="00202221">
        <w:rPr>
          <w:sz w:val="20"/>
          <w:szCs w:val="20"/>
          <w:lang w:val="es-ES"/>
        </w:rPr>
        <w:t>zonas afectadas</w:t>
      </w:r>
      <w:r w:rsidR="001B130B" w:rsidRPr="00202221">
        <w:rPr>
          <w:sz w:val="20"/>
          <w:szCs w:val="20"/>
          <w:lang w:val="es-ES"/>
        </w:rPr>
        <w:t xml:space="preserve">, </w:t>
      </w:r>
      <w:r w:rsidR="00F16C73" w:rsidRPr="00202221">
        <w:rPr>
          <w:sz w:val="20"/>
          <w:szCs w:val="20"/>
          <w:lang w:val="es-ES"/>
        </w:rPr>
        <w:t xml:space="preserve">mejorando la </w:t>
      </w:r>
      <w:r w:rsidR="00A70E9A" w:rsidRPr="00202221">
        <w:rPr>
          <w:sz w:val="20"/>
          <w:szCs w:val="20"/>
          <w:lang w:val="es-ES"/>
        </w:rPr>
        <w:t xml:space="preserve">calidad y la cobertura de los </w:t>
      </w:r>
      <w:r w:rsidR="00F16C73" w:rsidRPr="00202221">
        <w:rPr>
          <w:sz w:val="20"/>
          <w:szCs w:val="20"/>
          <w:lang w:val="es-ES"/>
        </w:rPr>
        <w:t xml:space="preserve">programas de </w:t>
      </w:r>
      <w:r w:rsidR="000D24C8" w:rsidRPr="00202221">
        <w:rPr>
          <w:sz w:val="20"/>
          <w:szCs w:val="20"/>
          <w:lang w:val="es-ES"/>
        </w:rPr>
        <w:t xml:space="preserve">micronutrientes </w:t>
      </w:r>
      <w:r w:rsidR="00A70E9A" w:rsidRPr="00202221">
        <w:rPr>
          <w:sz w:val="20"/>
          <w:szCs w:val="20"/>
          <w:lang w:val="es-ES"/>
        </w:rPr>
        <w:t xml:space="preserve">aplicados por </w:t>
      </w:r>
      <w:r w:rsidR="001B130B" w:rsidRPr="00202221">
        <w:rPr>
          <w:sz w:val="20"/>
          <w:szCs w:val="20"/>
          <w:lang w:val="es-ES"/>
        </w:rPr>
        <w:t>los socios del clúster.</w:t>
      </w:r>
    </w:p>
    <w:p w14:paraId="5F5A55DC" w14:textId="77777777" w:rsidR="00B45BA9" w:rsidRPr="00202221" w:rsidRDefault="00B45BA9" w:rsidP="001B130B">
      <w:pPr>
        <w:spacing w:after="0" w:line="240" w:lineRule="auto"/>
        <w:rPr>
          <w:sz w:val="20"/>
          <w:szCs w:val="20"/>
          <w:lang w:val="es-ES"/>
        </w:rPr>
      </w:pPr>
    </w:p>
    <w:p w14:paraId="279CD3A8" w14:textId="716FE42B" w:rsidR="001B130B" w:rsidRPr="00202221" w:rsidRDefault="001B130B" w:rsidP="001B130B">
      <w:pPr>
        <w:rPr>
          <w:sz w:val="20"/>
          <w:szCs w:val="20"/>
          <w:lang w:val="es-ES"/>
        </w:rPr>
      </w:pPr>
      <w:r w:rsidRPr="00202221">
        <w:rPr>
          <w:sz w:val="20"/>
          <w:szCs w:val="20"/>
          <w:lang w:val="es-ES"/>
        </w:rPr>
        <w:t xml:space="preserve">Los objetivos específicos del </w:t>
      </w:r>
      <w:r w:rsidR="00BB228D" w:rsidRPr="00202221">
        <w:rPr>
          <w:sz w:val="20"/>
          <w:szCs w:val="20"/>
          <w:lang w:val="es-ES"/>
        </w:rPr>
        <w:t xml:space="preserve">grupo de trabajo sobre </w:t>
      </w:r>
      <w:r w:rsidR="000D24C8" w:rsidRPr="00202221">
        <w:rPr>
          <w:sz w:val="20"/>
          <w:szCs w:val="20"/>
          <w:lang w:val="es-ES"/>
        </w:rPr>
        <w:t xml:space="preserve">micronutrientes </w:t>
      </w:r>
      <w:r w:rsidRPr="00202221">
        <w:rPr>
          <w:sz w:val="20"/>
          <w:szCs w:val="20"/>
          <w:lang w:val="es-ES"/>
        </w:rPr>
        <w:t>son</w:t>
      </w:r>
    </w:p>
    <w:p w14:paraId="46709BBD" w14:textId="2AA02F92" w:rsidR="00A70E9A" w:rsidRPr="00202221" w:rsidRDefault="00A70E9A" w:rsidP="00A70E9A">
      <w:pPr>
        <w:pStyle w:val="Prrafodelista"/>
        <w:numPr>
          <w:ilvl w:val="0"/>
          <w:numId w:val="3"/>
        </w:numPr>
        <w:rPr>
          <w:sz w:val="20"/>
          <w:szCs w:val="20"/>
          <w:lang w:val="es-ES"/>
        </w:rPr>
      </w:pPr>
      <w:r w:rsidRPr="00202221">
        <w:rPr>
          <w:sz w:val="20"/>
          <w:szCs w:val="20"/>
          <w:lang w:val="es-ES"/>
        </w:rPr>
        <w:t xml:space="preserve">Garantizar la </w:t>
      </w:r>
      <w:r w:rsidR="006C483B" w:rsidRPr="00202221">
        <w:rPr>
          <w:sz w:val="20"/>
          <w:szCs w:val="20"/>
          <w:lang w:val="es-ES"/>
        </w:rPr>
        <w:t xml:space="preserve">ejecución de </w:t>
      </w:r>
      <w:r w:rsidRPr="00202221">
        <w:rPr>
          <w:sz w:val="20"/>
          <w:szCs w:val="20"/>
          <w:lang w:val="es-ES"/>
        </w:rPr>
        <w:t xml:space="preserve">programas de </w:t>
      </w:r>
      <w:r w:rsidR="000D24C8" w:rsidRPr="00202221">
        <w:rPr>
          <w:sz w:val="20"/>
          <w:szCs w:val="20"/>
          <w:lang w:val="es-ES"/>
        </w:rPr>
        <w:t xml:space="preserve">micronutrientes de calidad </w:t>
      </w:r>
      <w:r w:rsidR="006C483B" w:rsidRPr="00202221">
        <w:rPr>
          <w:sz w:val="20"/>
          <w:szCs w:val="20"/>
          <w:lang w:val="es-ES"/>
        </w:rPr>
        <w:t xml:space="preserve">con </w:t>
      </w:r>
      <w:r w:rsidR="000D24C8" w:rsidRPr="00202221">
        <w:rPr>
          <w:sz w:val="20"/>
          <w:szCs w:val="20"/>
          <w:lang w:val="es-ES"/>
        </w:rPr>
        <w:t xml:space="preserve">una </w:t>
      </w:r>
      <w:r w:rsidRPr="00202221">
        <w:rPr>
          <w:sz w:val="20"/>
          <w:szCs w:val="20"/>
          <w:lang w:val="es-ES"/>
        </w:rPr>
        <w:t xml:space="preserve">cobertura </w:t>
      </w:r>
      <w:r w:rsidR="000D24C8" w:rsidRPr="00202221">
        <w:rPr>
          <w:sz w:val="20"/>
          <w:szCs w:val="20"/>
          <w:lang w:val="es-ES"/>
        </w:rPr>
        <w:t xml:space="preserve">adecuada </w:t>
      </w:r>
      <w:r w:rsidR="00BB228D" w:rsidRPr="00202221">
        <w:rPr>
          <w:sz w:val="20"/>
          <w:szCs w:val="20"/>
          <w:lang w:val="es-ES"/>
        </w:rPr>
        <w:t xml:space="preserve">para </w:t>
      </w:r>
      <w:r w:rsidR="000D24C8" w:rsidRPr="00202221">
        <w:rPr>
          <w:sz w:val="20"/>
          <w:szCs w:val="20"/>
          <w:lang w:val="es-ES"/>
        </w:rPr>
        <w:t xml:space="preserve">abordar las deficiencias de micronutrientes en la </w:t>
      </w:r>
      <w:r w:rsidR="0085136C">
        <w:rPr>
          <w:sz w:val="20"/>
          <w:szCs w:val="20"/>
          <w:lang w:val="es-ES"/>
        </w:rPr>
        <w:t>zona</w:t>
      </w:r>
      <w:r w:rsidR="000D24C8" w:rsidRPr="00202221">
        <w:rPr>
          <w:sz w:val="20"/>
          <w:szCs w:val="20"/>
          <w:lang w:val="es-ES"/>
        </w:rPr>
        <w:t xml:space="preserve"> afectada  </w:t>
      </w:r>
    </w:p>
    <w:p w14:paraId="691374FA" w14:textId="6929B4F7" w:rsidR="00A71F62" w:rsidRPr="00202221" w:rsidRDefault="00F879DB" w:rsidP="00F16C73">
      <w:pPr>
        <w:pStyle w:val="Prrafodelista"/>
        <w:numPr>
          <w:ilvl w:val="0"/>
          <w:numId w:val="3"/>
        </w:numPr>
        <w:rPr>
          <w:sz w:val="20"/>
          <w:szCs w:val="20"/>
          <w:lang w:val="es-ES"/>
        </w:rPr>
      </w:pPr>
      <w:r w:rsidRPr="00202221">
        <w:rPr>
          <w:sz w:val="20"/>
          <w:szCs w:val="20"/>
          <w:lang w:val="es-ES"/>
        </w:rPr>
        <w:t xml:space="preserve">Mejorar la </w:t>
      </w:r>
      <w:r w:rsidR="00640932" w:rsidRPr="00202221">
        <w:rPr>
          <w:sz w:val="20"/>
          <w:szCs w:val="20"/>
          <w:lang w:val="es-ES"/>
        </w:rPr>
        <w:t xml:space="preserve">transición </w:t>
      </w:r>
      <w:r w:rsidRPr="00202221">
        <w:rPr>
          <w:sz w:val="20"/>
          <w:szCs w:val="20"/>
          <w:lang w:val="es-ES"/>
        </w:rPr>
        <w:t xml:space="preserve">humanitaria-desarrollo y la preparación en los </w:t>
      </w:r>
      <w:r w:rsidR="000D24C8" w:rsidRPr="00202221">
        <w:rPr>
          <w:sz w:val="20"/>
          <w:szCs w:val="20"/>
          <w:lang w:val="es-ES"/>
        </w:rPr>
        <w:t xml:space="preserve">programas de intervención de micronutrientes </w:t>
      </w:r>
      <w:r w:rsidR="006C483B" w:rsidRPr="00202221">
        <w:rPr>
          <w:sz w:val="20"/>
          <w:szCs w:val="20"/>
          <w:lang w:val="es-ES"/>
        </w:rPr>
        <w:t xml:space="preserve">a través de </w:t>
      </w:r>
      <w:r w:rsidR="000D24C8" w:rsidRPr="00202221">
        <w:rPr>
          <w:sz w:val="20"/>
          <w:szCs w:val="20"/>
          <w:lang w:val="es-ES"/>
        </w:rPr>
        <w:t xml:space="preserve">la </w:t>
      </w:r>
      <w:r w:rsidR="006C483B" w:rsidRPr="00202221">
        <w:rPr>
          <w:sz w:val="20"/>
          <w:szCs w:val="20"/>
          <w:lang w:val="es-ES"/>
        </w:rPr>
        <w:t xml:space="preserve">integración en los sistemas de salud rutinarios </w:t>
      </w:r>
      <w:r w:rsidR="00105393" w:rsidRPr="00202221">
        <w:rPr>
          <w:sz w:val="20"/>
          <w:szCs w:val="20"/>
          <w:lang w:val="es-ES"/>
        </w:rPr>
        <w:t xml:space="preserve">y la realización de un fortalecimiento del sistema de salud </w:t>
      </w:r>
      <w:r w:rsidR="006C483B" w:rsidRPr="00202221">
        <w:rPr>
          <w:sz w:val="20"/>
          <w:szCs w:val="20"/>
          <w:lang w:val="es-ES"/>
        </w:rPr>
        <w:t xml:space="preserve">cuando sea factible </w:t>
      </w:r>
    </w:p>
    <w:p w14:paraId="2A7B9A6D" w14:textId="77777777" w:rsidR="005C1846" w:rsidRDefault="005C1846" w:rsidP="005C1846">
      <w:pPr>
        <w:shd w:val="clear" w:color="auto" w:fill="FFFFFF"/>
        <w:spacing w:after="0" w:line="240" w:lineRule="auto"/>
        <w:rPr>
          <w:b/>
        </w:rPr>
      </w:pPr>
      <w:r>
        <w:rPr>
          <w:b/>
        </w:rPr>
        <w:t xml:space="preserve">PRINCIPALES TAREAS Y RESPONSABILIDADES </w:t>
      </w:r>
    </w:p>
    <w:p w14:paraId="62E007E2" w14:textId="77777777" w:rsidR="009525DA" w:rsidRDefault="009525DA" w:rsidP="005C1846">
      <w:pPr>
        <w:shd w:val="clear" w:color="auto" w:fill="FFFFFF"/>
        <w:spacing w:after="0" w:line="240" w:lineRule="auto"/>
        <w:rPr>
          <w:b/>
        </w:rPr>
      </w:pPr>
    </w:p>
    <w:p w14:paraId="479B6376" w14:textId="740E8305" w:rsidR="00A70E9A" w:rsidRPr="00202221" w:rsidRDefault="00A70E9A" w:rsidP="00A70E9A">
      <w:pPr>
        <w:pStyle w:val="Prrafodelista"/>
        <w:numPr>
          <w:ilvl w:val="0"/>
          <w:numId w:val="1"/>
        </w:numPr>
        <w:rPr>
          <w:sz w:val="20"/>
          <w:szCs w:val="20"/>
          <w:lang w:val="es-ES"/>
        </w:rPr>
      </w:pPr>
      <w:r w:rsidRPr="00202221">
        <w:rPr>
          <w:sz w:val="20"/>
          <w:szCs w:val="20"/>
          <w:lang w:val="es-ES"/>
        </w:rPr>
        <w:t xml:space="preserve">Proporcionar apoyo técnico y orientación </w:t>
      </w:r>
      <w:r w:rsidR="00BB228D" w:rsidRPr="00202221">
        <w:rPr>
          <w:sz w:val="20"/>
          <w:szCs w:val="20"/>
          <w:lang w:val="es-ES"/>
        </w:rPr>
        <w:t xml:space="preserve">sobre las </w:t>
      </w:r>
      <w:r w:rsidR="000D24C8" w:rsidRPr="00202221">
        <w:rPr>
          <w:sz w:val="20"/>
          <w:szCs w:val="20"/>
          <w:lang w:val="es-ES"/>
        </w:rPr>
        <w:t xml:space="preserve">deficiencias de micronutrientes y las intervenciones </w:t>
      </w:r>
      <w:r w:rsidRPr="00202221">
        <w:rPr>
          <w:sz w:val="20"/>
          <w:szCs w:val="20"/>
          <w:lang w:val="es-ES"/>
        </w:rPr>
        <w:t xml:space="preserve">a los socios del clúster </w:t>
      </w:r>
    </w:p>
    <w:p w14:paraId="2F437119" w14:textId="6BDEB7F2" w:rsidR="00B7666E" w:rsidRPr="00202221" w:rsidRDefault="00B7666E" w:rsidP="00B7666E">
      <w:pPr>
        <w:pStyle w:val="Prrafodelista"/>
        <w:numPr>
          <w:ilvl w:val="0"/>
          <w:numId w:val="1"/>
        </w:numPr>
        <w:rPr>
          <w:sz w:val="20"/>
          <w:szCs w:val="20"/>
          <w:lang w:val="es-ES"/>
        </w:rPr>
      </w:pPr>
      <w:r w:rsidRPr="00202221">
        <w:rPr>
          <w:sz w:val="20"/>
          <w:szCs w:val="20"/>
          <w:lang w:val="es-ES"/>
        </w:rPr>
        <w:t xml:space="preserve">Poner a disposición de </w:t>
      </w:r>
      <w:r w:rsidR="004A2873" w:rsidRPr="00202221">
        <w:rPr>
          <w:sz w:val="20"/>
          <w:szCs w:val="20"/>
          <w:lang w:val="es-ES"/>
        </w:rPr>
        <w:t>los socios de</w:t>
      </w:r>
      <w:r w:rsidR="003A379C">
        <w:rPr>
          <w:sz w:val="20"/>
          <w:szCs w:val="20"/>
          <w:lang w:val="es-ES"/>
        </w:rPr>
        <w:t>l Cluster</w:t>
      </w:r>
      <w:r w:rsidR="004A2873" w:rsidRPr="00202221">
        <w:rPr>
          <w:sz w:val="20"/>
          <w:szCs w:val="20"/>
          <w:lang w:val="es-ES"/>
        </w:rPr>
        <w:t xml:space="preserve"> </w:t>
      </w:r>
      <w:r w:rsidRPr="00202221">
        <w:rPr>
          <w:sz w:val="20"/>
          <w:szCs w:val="20"/>
          <w:lang w:val="es-ES"/>
        </w:rPr>
        <w:t xml:space="preserve">las directrices de </w:t>
      </w:r>
      <w:r w:rsidR="000D24C8" w:rsidRPr="00202221">
        <w:rPr>
          <w:sz w:val="20"/>
          <w:szCs w:val="20"/>
          <w:lang w:val="es-ES"/>
        </w:rPr>
        <w:t>los programas de micronutrientes</w:t>
      </w:r>
      <w:r w:rsidRPr="00202221">
        <w:rPr>
          <w:sz w:val="20"/>
          <w:szCs w:val="20"/>
          <w:lang w:val="es-ES"/>
        </w:rPr>
        <w:t xml:space="preserve">, el conjunto de herramientas, los multimedia y otras </w:t>
      </w:r>
      <w:r w:rsidR="0041096E" w:rsidRPr="00202221">
        <w:rPr>
          <w:sz w:val="20"/>
          <w:szCs w:val="20"/>
          <w:lang w:val="es-ES"/>
        </w:rPr>
        <w:t xml:space="preserve">herramientas </w:t>
      </w:r>
      <w:r w:rsidR="00F16C73" w:rsidRPr="00202221">
        <w:rPr>
          <w:sz w:val="20"/>
          <w:szCs w:val="20"/>
          <w:lang w:val="es-ES"/>
        </w:rPr>
        <w:t xml:space="preserve">necesarias para una </w:t>
      </w:r>
      <w:r w:rsidR="00202221">
        <w:rPr>
          <w:sz w:val="20"/>
          <w:szCs w:val="20"/>
          <w:lang w:val="es-ES"/>
        </w:rPr>
        <w:t>implementació</w:t>
      </w:r>
      <w:r w:rsidRPr="00202221">
        <w:rPr>
          <w:sz w:val="20"/>
          <w:szCs w:val="20"/>
          <w:lang w:val="es-ES"/>
        </w:rPr>
        <w:t xml:space="preserve">n de </w:t>
      </w:r>
      <w:r w:rsidR="00F16C73" w:rsidRPr="00202221">
        <w:rPr>
          <w:sz w:val="20"/>
          <w:szCs w:val="20"/>
          <w:lang w:val="es-ES"/>
        </w:rPr>
        <w:t xml:space="preserve">calidad de </w:t>
      </w:r>
      <w:r w:rsidRPr="00202221">
        <w:rPr>
          <w:sz w:val="20"/>
          <w:szCs w:val="20"/>
          <w:lang w:val="es-ES"/>
        </w:rPr>
        <w:t xml:space="preserve">los programas </w:t>
      </w:r>
      <w:r w:rsidR="000D24C8" w:rsidRPr="00202221">
        <w:rPr>
          <w:sz w:val="20"/>
          <w:szCs w:val="20"/>
          <w:lang w:val="es-ES"/>
        </w:rPr>
        <w:t xml:space="preserve">que abordan las deficiencias de micronutrientes </w:t>
      </w:r>
    </w:p>
    <w:p w14:paraId="49568DA5" w14:textId="3F011857" w:rsidR="00B7666E" w:rsidRPr="00202221" w:rsidRDefault="009525DA" w:rsidP="00B7666E">
      <w:pPr>
        <w:pStyle w:val="Prrafodelista"/>
        <w:numPr>
          <w:ilvl w:val="0"/>
          <w:numId w:val="1"/>
        </w:numPr>
        <w:rPr>
          <w:sz w:val="20"/>
          <w:szCs w:val="20"/>
          <w:lang w:val="es-ES"/>
        </w:rPr>
      </w:pPr>
      <w:r w:rsidRPr="00202221">
        <w:rPr>
          <w:sz w:val="20"/>
          <w:szCs w:val="20"/>
          <w:lang w:val="es-ES"/>
        </w:rPr>
        <w:t xml:space="preserve">Facilitar la puesta en marcha de las </w:t>
      </w:r>
      <w:r w:rsidR="00B7666E" w:rsidRPr="00202221">
        <w:rPr>
          <w:sz w:val="20"/>
          <w:szCs w:val="20"/>
          <w:lang w:val="es-ES"/>
        </w:rPr>
        <w:t xml:space="preserve">directrices </w:t>
      </w:r>
      <w:r w:rsidR="000D24C8" w:rsidRPr="00202221">
        <w:rPr>
          <w:sz w:val="20"/>
          <w:szCs w:val="20"/>
          <w:lang w:val="es-ES"/>
        </w:rPr>
        <w:t xml:space="preserve">sobre micronutrientes </w:t>
      </w:r>
      <w:r w:rsidR="00B7666E" w:rsidRPr="00202221">
        <w:rPr>
          <w:sz w:val="20"/>
          <w:szCs w:val="20"/>
          <w:lang w:val="es-ES"/>
        </w:rPr>
        <w:t xml:space="preserve">mediante </w:t>
      </w:r>
      <w:r w:rsidR="0041096E" w:rsidRPr="00202221">
        <w:rPr>
          <w:sz w:val="20"/>
          <w:szCs w:val="20"/>
          <w:lang w:val="es-ES"/>
        </w:rPr>
        <w:t xml:space="preserve">actividades de </w:t>
      </w:r>
      <w:r w:rsidR="000A357F" w:rsidRPr="00202221">
        <w:rPr>
          <w:sz w:val="20"/>
          <w:szCs w:val="20"/>
          <w:lang w:val="es-ES"/>
        </w:rPr>
        <w:t xml:space="preserve">mapeo y </w:t>
      </w:r>
      <w:r w:rsidR="0041096E" w:rsidRPr="00202221">
        <w:rPr>
          <w:sz w:val="20"/>
          <w:szCs w:val="20"/>
          <w:lang w:val="es-ES"/>
        </w:rPr>
        <w:t xml:space="preserve">desarrollo de capacidades </w:t>
      </w:r>
      <w:r w:rsidR="004A2873" w:rsidRPr="00202221">
        <w:rPr>
          <w:sz w:val="20"/>
          <w:szCs w:val="20"/>
          <w:lang w:val="es-ES"/>
        </w:rPr>
        <w:t xml:space="preserve">y </w:t>
      </w:r>
      <w:r w:rsidR="00B7666E" w:rsidRPr="00202221">
        <w:rPr>
          <w:sz w:val="20"/>
          <w:szCs w:val="20"/>
          <w:lang w:val="es-ES"/>
        </w:rPr>
        <w:t>supervisión de apoyo</w:t>
      </w:r>
    </w:p>
    <w:p w14:paraId="39520A99" w14:textId="644A5515" w:rsidR="00F16C73" w:rsidRPr="00202221" w:rsidRDefault="00F16C73" w:rsidP="00F16C73">
      <w:pPr>
        <w:pStyle w:val="Prrafodelista"/>
        <w:numPr>
          <w:ilvl w:val="0"/>
          <w:numId w:val="1"/>
        </w:numPr>
        <w:autoSpaceDE w:val="0"/>
        <w:autoSpaceDN w:val="0"/>
        <w:adjustRightInd w:val="0"/>
        <w:spacing w:after="0" w:line="240" w:lineRule="auto"/>
        <w:rPr>
          <w:sz w:val="20"/>
          <w:szCs w:val="20"/>
          <w:lang w:val="es-ES"/>
        </w:rPr>
      </w:pPr>
      <w:r w:rsidRPr="00202221">
        <w:rPr>
          <w:sz w:val="20"/>
          <w:szCs w:val="20"/>
          <w:lang w:val="es-ES"/>
        </w:rPr>
        <w:lastRenderedPageBreak/>
        <w:t xml:space="preserve">Mapear la </w:t>
      </w:r>
      <w:r w:rsidR="00105393" w:rsidRPr="00202221">
        <w:rPr>
          <w:sz w:val="20"/>
          <w:szCs w:val="20"/>
          <w:lang w:val="es-ES"/>
        </w:rPr>
        <w:t xml:space="preserve">gestión de las </w:t>
      </w:r>
      <w:r w:rsidR="00BB228D" w:rsidRPr="00202221">
        <w:rPr>
          <w:sz w:val="20"/>
          <w:szCs w:val="20"/>
          <w:lang w:val="es-ES"/>
        </w:rPr>
        <w:t xml:space="preserve">actividades </w:t>
      </w:r>
      <w:r w:rsidRPr="00202221">
        <w:rPr>
          <w:sz w:val="20"/>
          <w:szCs w:val="20"/>
          <w:lang w:val="es-ES"/>
        </w:rPr>
        <w:t xml:space="preserve">relacionadas con </w:t>
      </w:r>
      <w:r w:rsidR="000D24C8" w:rsidRPr="00202221">
        <w:rPr>
          <w:sz w:val="20"/>
          <w:szCs w:val="20"/>
          <w:lang w:val="es-ES"/>
        </w:rPr>
        <w:t>los programas de micronutrientes</w:t>
      </w:r>
      <w:r w:rsidR="00BB228D" w:rsidRPr="00202221">
        <w:rPr>
          <w:sz w:val="20"/>
          <w:szCs w:val="20"/>
          <w:lang w:val="es-ES"/>
        </w:rPr>
        <w:t xml:space="preserve">, identificar </w:t>
      </w:r>
      <w:r w:rsidRPr="00202221">
        <w:rPr>
          <w:sz w:val="20"/>
          <w:szCs w:val="20"/>
          <w:lang w:val="es-ES"/>
        </w:rPr>
        <w:t xml:space="preserve">las deficiencias en la cobertura y </w:t>
      </w:r>
      <w:r w:rsidR="008F408F" w:rsidRPr="00202221">
        <w:rPr>
          <w:sz w:val="20"/>
          <w:szCs w:val="20"/>
          <w:lang w:val="es-ES"/>
        </w:rPr>
        <w:t xml:space="preserve">alertar a los </w:t>
      </w:r>
      <w:r w:rsidR="00BB228D" w:rsidRPr="00202221">
        <w:rPr>
          <w:sz w:val="20"/>
          <w:szCs w:val="20"/>
          <w:lang w:val="es-ES"/>
        </w:rPr>
        <w:t xml:space="preserve">socios </w:t>
      </w:r>
      <w:r w:rsidR="004A2873" w:rsidRPr="00202221">
        <w:rPr>
          <w:sz w:val="20"/>
          <w:szCs w:val="20"/>
          <w:lang w:val="es-ES"/>
        </w:rPr>
        <w:t xml:space="preserve">del clúster </w:t>
      </w:r>
      <w:r w:rsidR="00BB228D" w:rsidRPr="00202221">
        <w:rPr>
          <w:sz w:val="20"/>
          <w:szCs w:val="20"/>
          <w:lang w:val="es-ES"/>
        </w:rPr>
        <w:t xml:space="preserve">y a </w:t>
      </w:r>
      <w:r w:rsidR="00992BD7" w:rsidRPr="00202221">
        <w:rPr>
          <w:sz w:val="20"/>
          <w:szCs w:val="20"/>
          <w:lang w:val="es-ES"/>
        </w:rPr>
        <w:t xml:space="preserve">UNICEF como proveedor </w:t>
      </w:r>
      <w:r w:rsidR="00E01947">
        <w:rPr>
          <w:sz w:val="20"/>
          <w:szCs w:val="20"/>
          <w:lang w:val="es-ES"/>
        </w:rPr>
        <w:t>en última instancia</w:t>
      </w:r>
      <w:r w:rsidR="00992BD7" w:rsidRPr="00202221">
        <w:rPr>
          <w:sz w:val="20"/>
          <w:szCs w:val="20"/>
          <w:lang w:val="es-ES"/>
        </w:rPr>
        <w:t xml:space="preserve"> </w:t>
      </w:r>
      <w:r w:rsidR="004A2873" w:rsidRPr="00202221">
        <w:rPr>
          <w:sz w:val="20"/>
          <w:szCs w:val="20"/>
          <w:lang w:val="es-ES"/>
        </w:rPr>
        <w:t xml:space="preserve">para que </w:t>
      </w:r>
      <w:r w:rsidR="00BB228D" w:rsidRPr="00202221">
        <w:rPr>
          <w:sz w:val="20"/>
          <w:szCs w:val="20"/>
          <w:lang w:val="es-ES"/>
        </w:rPr>
        <w:t xml:space="preserve">actúen </w:t>
      </w:r>
      <w:r w:rsidR="004A2873" w:rsidRPr="00202221">
        <w:rPr>
          <w:sz w:val="20"/>
          <w:szCs w:val="20"/>
          <w:lang w:val="es-ES"/>
        </w:rPr>
        <w:t>para cubrir las deficiencias</w:t>
      </w:r>
    </w:p>
    <w:p w14:paraId="1B6D5784" w14:textId="2D9D25B9" w:rsidR="00F16C73" w:rsidRPr="00202221" w:rsidRDefault="00F16C73" w:rsidP="00F16C73">
      <w:pPr>
        <w:pStyle w:val="Prrafodelista"/>
        <w:numPr>
          <w:ilvl w:val="0"/>
          <w:numId w:val="1"/>
        </w:numPr>
        <w:autoSpaceDE w:val="0"/>
        <w:autoSpaceDN w:val="0"/>
        <w:adjustRightInd w:val="0"/>
        <w:spacing w:after="0" w:line="240" w:lineRule="auto"/>
        <w:rPr>
          <w:sz w:val="20"/>
          <w:szCs w:val="20"/>
          <w:lang w:val="es-ES"/>
        </w:rPr>
      </w:pPr>
      <w:r w:rsidRPr="00202221">
        <w:rPr>
          <w:sz w:val="20"/>
          <w:szCs w:val="20"/>
          <w:lang w:val="es-ES"/>
        </w:rPr>
        <w:t xml:space="preserve">Evaluar si las directrices y políticas nacionales en materia de nutrición incluyen las últimas recomendaciones mundiales en las </w:t>
      </w:r>
      <w:r w:rsidR="000D24C8" w:rsidRPr="00202221">
        <w:rPr>
          <w:sz w:val="20"/>
          <w:szCs w:val="20"/>
          <w:lang w:val="es-ES"/>
        </w:rPr>
        <w:t xml:space="preserve">intervenciones de los programas de micronutrientes </w:t>
      </w:r>
      <w:r w:rsidRPr="00202221">
        <w:rPr>
          <w:sz w:val="20"/>
          <w:szCs w:val="20"/>
          <w:lang w:val="es-ES"/>
        </w:rPr>
        <w:t xml:space="preserve">y </w:t>
      </w:r>
      <w:r w:rsidR="001C2285" w:rsidRPr="00202221">
        <w:rPr>
          <w:sz w:val="20"/>
          <w:szCs w:val="20"/>
          <w:lang w:val="es-ES"/>
        </w:rPr>
        <w:t xml:space="preserve">abogar por la </w:t>
      </w:r>
      <w:r w:rsidR="00EA2AAA" w:rsidRPr="00202221">
        <w:rPr>
          <w:sz w:val="20"/>
          <w:szCs w:val="20"/>
          <w:lang w:val="es-ES"/>
        </w:rPr>
        <w:t xml:space="preserve">actualización de las </w:t>
      </w:r>
      <w:r w:rsidR="00BB228D" w:rsidRPr="00202221">
        <w:rPr>
          <w:sz w:val="20"/>
          <w:szCs w:val="20"/>
          <w:lang w:val="es-ES"/>
        </w:rPr>
        <w:t xml:space="preserve">directrices </w:t>
      </w:r>
      <w:r w:rsidR="00EA2AAA" w:rsidRPr="00202221">
        <w:rPr>
          <w:sz w:val="20"/>
          <w:szCs w:val="20"/>
          <w:lang w:val="es-ES"/>
        </w:rPr>
        <w:t xml:space="preserve">y protocolos cuando sea necesario </w:t>
      </w:r>
    </w:p>
    <w:p w14:paraId="3E024BC3" w14:textId="267A35FB" w:rsidR="00690D32" w:rsidRPr="00202221" w:rsidRDefault="00690D32" w:rsidP="00690D32">
      <w:pPr>
        <w:pStyle w:val="Prrafodelista"/>
        <w:numPr>
          <w:ilvl w:val="0"/>
          <w:numId w:val="1"/>
        </w:numPr>
        <w:autoSpaceDE w:val="0"/>
        <w:autoSpaceDN w:val="0"/>
        <w:adjustRightInd w:val="0"/>
        <w:spacing w:after="0" w:line="240" w:lineRule="auto"/>
        <w:rPr>
          <w:sz w:val="20"/>
          <w:szCs w:val="20"/>
          <w:lang w:val="es-ES"/>
        </w:rPr>
      </w:pPr>
      <w:r w:rsidRPr="00202221">
        <w:rPr>
          <w:sz w:val="20"/>
          <w:szCs w:val="20"/>
          <w:lang w:val="es-ES"/>
        </w:rPr>
        <w:t xml:space="preserve">Garantizar un enfoque holístico para abordar </w:t>
      </w:r>
      <w:r w:rsidR="000D24C8" w:rsidRPr="00202221">
        <w:rPr>
          <w:sz w:val="20"/>
          <w:szCs w:val="20"/>
          <w:lang w:val="es-ES"/>
        </w:rPr>
        <w:t>las deficiencias de micronutrientes</w:t>
      </w:r>
      <w:r w:rsidRPr="00202221">
        <w:rPr>
          <w:sz w:val="20"/>
          <w:szCs w:val="20"/>
          <w:lang w:val="es-ES"/>
        </w:rPr>
        <w:t xml:space="preserve">, </w:t>
      </w:r>
      <w:r w:rsidR="00105393" w:rsidRPr="00202221">
        <w:rPr>
          <w:sz w:val="20"/>
          <w:szCs w:val="20"/>
          <w:lang w:val="es-ES"/>
        </w:rPr>
        <w:t xml:space="preserve">asegurando que </w:t>
      </w:r>
      <w:r w:rsidR="001C2285" w:rsidRPr="00202221">
        <w:rPr>
          <w:sz w:val="20"/>
          <w:szCs w:val="20"/>
          <w:lang w:val="es-ES"/>
        </w:rPr>
        <w:t xml:space="preserve">se aborden los aspectos de </w:t>
      </w:r>
      <w:r w:rsidRPr="00202221">
        <w:rPr>
          <w:sz w:val="20"/>
          <w:szCs w:val="20"/>
          <w:lang w:val="es-ES"/>
        </w:rPr>
        <w:t>prevención y tratamiento, incluyendo los vínculos con otros sectores</w:t>
      </w:r>
    </w:p>
    <w:p w14:paraId="1A06E390" w14:textId="7F71D7DF" w:rsidR="003977F9" w:rsidRPr="00202221" w:rsidRDefault="003977F9" w:rsidP="00254E4D">
      <w:pPr>
        <w:pStyle w:val="Prrafodelista"/>
        <w:numPr>
          <w:ilvl w:val="0"/>
          <w:numId w:val="1"/>
        </w:numPr>
        <w:autoSpaceDE w:val="0"/>
        <w:autoSpaceDN w:val="0"/>
        <w:adjustRightInd w:val="0"/>
        <w:spacing w:after="0" w:line="240" w:lineRule="auto"/>
        <w:rPr>
          <w:sz w:val="20"/>
          <w:szCs w:val="20"/>
          <w:lang w:val="es-ES"/>
        </w:rPr>
      </w:pPr>
      <w:r w:rsidRPr="00202221">
        <w:rPr>
          <w:sz w:val="20"/>
          <w:szCs w:val="20"/>
          <w:lang w:val="es-ES"/>
        </w:rPr>
        <w:t xml:space="preserve">Promover </w:t>
      </w:r>
      <w:r w:rsidR="001C2285" w:rsidRPr="00202221">
        <w:rPr>
          <w:sz w:val="20"/>
          <w:szCs w:val="20"/>
          <w:lang w:val="es-ES"/>
        </w:rPr>
        <w:t xml:space="preserve">la </w:t>
      </w:r>
      <w:r w:rsidRPr="00202221">
        <w:rPr>
          <w:sz w:val="20"/>
          <w:szCs w:val="20"/>
          <w:lang w:val="es-ES"/>
        </w:rPr>
        <w:t xml:space="preserve">integración de las actividades del </w:t>
      </w:r>
      <w:r w:rsidR="000D24C8" w:rsidRPr="00202221">
        <w:rPr>
          <w:sz w:val="20"/>
          <w:szCs w:val="20"/>
          <w:lang w:val="es-ES"/>
        </w:rPr>
        <w:t xml:space="preserve">programa de micronutrientes </w:t>
      </w:r>
      <w:r w:rsidRPr="00202221">
        <w:rPr>
          <w:sz w:val="20"/>
          <w:szCs w:val="20"/>
          <w:lang w:val="es-ES"/>
        </w:rPr>
        <w:t xml:space="preserve">en las intervenciones gubernamentales </w:t>
      </w:r>
      <w:r w:rsidR="00105393" w:rsidRPr="00202221">
        <w:rPr>
          <w:sz w:val="20"/>
          <w:szCs w:val="20"/>
          <w:lang w:val="es-ES"/>
        </w:rPr>
        <w:t xml:space="preserve">de atención primaria de salud </w:t>
      </w:r>
      <w:r w:rsidR="000D24C8" w:rsidRPr="00202221">
        <w:rPr>
          <w:sz w:val="20"/>
          <w:szCs w:val="20"/>
          <w:lang w:val="es-ES"/>
        </w:rPr>
        <w:t>cuando sea posible</w:t>
      </w:r>
    </w:p>
    <w:p w14:paraId="69360A8A" w14:textId="668E5CE7" w:rsidR="003977F9" w:rsidRPr="00202221" w:rsidRDefault="006B1009" w:rsidP="003977F9">
      <w:pPr>
        <w:pStyle w:val="Prrafodelista"/>
        <w:numPr>
          <w:ilvl w:val="0"/>
          <w:numId w:val="1"/>
        </w:numPr>
        <w:autoSpaceDE w:val="0"/>
        <w:autoSpaceDN w:val="0"/>
        <w:adjustRightInd w:val="0"/>
        <w:spacing w:after="0" w:line="240" w:lineRule="auto"/>
        <w:rPr>
          <w:sz w:val="20"/>
          <w:szCs w:val="20"/>
          <w:lang w:val="es-ES"/>
        </w:rPr>
      </w:pPr>
      <w:r w:rsidRPr="00202221">
        <w:rPr>
          <w:sz w:val="20"/>
          <w:szCs w:val="20"/>
          <w:lang w:val="es-ES"/>
        </w:rPr>
        <w:t xml:space="preserve">Cuando los socios trabajen en sustitución del gobierno, </w:t>
      </w:r>
      <w:r w:rsidR="003977F9" w:rsidRPr="00202221">
        <w:rPr>
          <w:sz w:val="20"/>
          <w:szCs w:val="20"/>
          <w:lang w:val="es-ES"/>
        </w:rPr>
        <w:t xml:space="preserve">promover la </w:t>
      </w:r>
      <w:r w:rsidRPr="00202221">
        <w:rPr>
          <w:sz w:val="20"/>
          <w:szCs w:val="20"/>
          <w:lang w:val="es-ES"/>
        </w:rPr>
        <w:t xml:space="preserve">adhesión de </w:t>
      </w:r>
      <w:r w:rsidR="00E411E8" w:rsidRPr="00202221">
        <w:rPr>
          <w:sz w:val="20"/>
          <w:szCs w:val="20"/>
          <w:lang w:val="es-ES"/>
        </w:rPr>
        <w:t xml:space="preserve">los socios a </w:t>
      </w:r>
      <w:r w:rsidR="003977F9" w:rsidRPr="00202221">
        <w:rPr>
          <w:sz w:val="20"/>
          <w:szCs w:val="20"/>
          <w:lang w:val="es-ES"/>
        </w:rPr>
        <w:t xml:space="preserve">la política </w:t>
      </w:r>
      <w:r w:rsidR="00E411E8" w:rsidRPr="00202221">
        <w:rPr>
          <w:sz w:val="20"/>
          <w:szCs w:val="20"/>
          <w:lang w:val="es-ES"/>
        </w:rPr>
        <w:t xml:space="preserve">nacional de </w:t>
      </w:r>
      <w:r w:rsidR="000D24C8" w:rsidRPr="00202221">
        <w:rPr>
          <w:sz w:val="20"/>
          <w:szCs w:val="20"/>
          <w:lang w:val="es-ES"/>
        </w:rPr>
        <w:t xml:space="preserve">micronutrientes </w:t>
      </w:r>
      <w:r w:rsidR="003977F9" w:rsidRPr="00202221">
        <w:rPr>
          <w:sz w:val="20"/>
          <w:szCs w:val="20"/>
          <w:lang w:val="es-ES"/>
        </w:rPr>
        <w:t>y su integración en los planes de trabajo de los socios pertinentes.</w:t>
      </w:r>
    </w:p>
    <w:p w14:paraId="593F453F" w14:textId="6732837C" w:rsidR="003977F9" w:rsidRPr="00202221" w:rsidRDefault="003977F9" w:rsidP="003977F9">
      <w:pPr>
        <w:pStyle w:val="Prrafodelista"/>
        <w:numPr>
          <w:ilvl w:val="0"/>
          <w:numId w:val="1"/>
        </w:numPr>
        <w:autoSpaceDE w:val="0"/>
        <w:autoSpaceDN w:val="0"/>
        <w:adjustRightInd w:val="0"/>
        <w:spacing w:after="0" w:line="240" w:lineRule="auto"/>
        <w:rPr>
          <w:sz w:val="20"/>
          <w:szCs w:val="20"/>
          <w:lang w:val="es-ES"/>
        </w:rPr>
      </w:pPr>
      <w:r w:rsidRPr="00202221">
        <w:rPr>
          <w:sz w:val="20"/>
          <w:szCs w:val="20"/>
          <w:lang w:val="es-ES"/>
        </w:rPr>
        <w:t xml:space="preserve">Apoyar la creación y el </w:t>
      </w:r>
      <w:r w:rsidR="00E411E8" w:rsidRPr="00202221">
        <w:rPr>
          <w:sz w:val="20"/>
          <w:szCs w:val="20"/>
          <w:lang w:val="es-ES"/>
        </w:rPr>
        <w:t xml:space="preserve">funcionamiento de los </w:t>
      </w:r>
      <w:r w:rsidRPr="00202221">
        <w:rPr>
          <w:sz w:val="20"/>
          <w:szCs w:val="20"/>
          <w:lang w:val="es-ES"/>
        </w:rPr>
        <w:t xml:space="preserve">grupos de trabajo de </w:t>
      </w:r>
      <w:r w:rsidR="000D24C8" w:rsidRPr="00202221">
        <w:rPr>
          <w:sz w:val="20"/>
          <w:szCs w:val="20"/>
          <w:lang w:val="es-ES"/>
        </w:rPr>
        <w:t xml:space="preserve">los programas </w:t>
      </w:r>
      <w:r w:rsidR="00E411E8" w:rsidRPr="00202221">
        <w:rPr>
          <w:sz w:val="20"/>
          <w:szCs w:val="20"/>
          <w:lang w:val="es-ES"/>
        </w:rPr>
        <w:t xml:space="preserve">subnacionales </w:t>
      </w:r>
      <w:r w:rsidR="000D24C8" w:rsidRPr="00202221">
        <w:rPr>
          <w:sz w:val="20"/>
          <w:szCs w:val="20"/>
          <w:lang w:val="es-ES"/>
        </w:rPr>
        <w:t xml:space="preserve">de micronutrientes </w:t>
      </w:r>
      <w:r w:rsidR="00F82953" w:rsidRPr="00202221">
        <w:rPr>
          <w:sz w:val="20"/>
          <w:szCs w:val="20"/>
          <w:lang w:val="es-ES"/>
        </w:rPr>
        <w:t>cuando y donde sea necesario</w:t>
      </w:r>
      <w:r w:rsidRPr="00202221">
        <w:rPr>
          <w:sz w:val="20"/>
          <w:szCs w:val="20"/>
          <w:lang w:val="es-ES"/>
        </w:rPr>
        <w:t>.</w:t>
      </w:r>
    </w:p>
    <w:p w14:paraId="3971CA40" w14:textId="77777777" w:rsidR="00F16C73" w:rsidRPr="00202221" w:rsidRDefault="00F16C73" w:rsidP="00F16C73">
      <w:pPr>
        <w:pStyle w:val="Prrafodelista"/>
        <w:autoSpaceDE w:val="0"/>
        <w:autoSpaceDN w:val="0"/>
        <w:adjustRightInd w:val="0"/>
        <w:spacing w:after="0" w:line="240" w:lineRule="auto"/>
        <w:rPr>
          <w:sz w:val="20"/>
          <w:szCs w:val="20"/>
          <w:lang w:val="es-ES"/>
        </w:rPr>
      </w:pPr>
    </w:p>
    <w:p w14:paraId="43F11A79" w14:textId="46084701" w:rsidR="00BB6AE6" w:rsidRPr="00202221" w:rsidRDefault="006B1009" w:rsidP="001B130B">
      <w:pPr>
        <w:rPr>
          <w:b/>
          <w:sz w:val="20"/>
          <w:szCs w:val="20"/>
          <w:lang w:val="es-ES"/>
        </w:rPr>
      </w:pPr>
      <w:r w:rsidRPr="00202221">
        <w:rPr>
          <w:b/>
          <w:sz w:val="20"/>
          <w:szCs w:val="20"/>
          <w:lang w:val="es-ES"/>
        </w:rPr>
        <w:t xml:space="preserve">ACTIVACIÓN, REQUISITOS Y PROCESO </w:t>
      </w:r>
    </w:p>
    <w:p w14:paraId="13916E40" w14:textId="676CB07A" w:rsidR="00BB6AE6" w:rsidRPr="00202221" w:rsidRDefault="001C2285" w:rsidP="001B130B">
      <w:pPr>
        <w:rPr>
          <w:rFonts w:eastAsia="Times New Roman"/>
          <w:sz w:val="20"/>
          <w:szCs w:val="20"/>
          <w:lang w:val="es-ES"/>
        </w:rPr>
      </w:pPr>
      <w:r w:rsidRPr="00202221">
        <w:rPr>
          <w:rFonts w:eastAsia="Times New Roman"/>
          <w:sz w:val="20"/>
          <w:szCs w:val="20"/>
          <w:lang w:val="es-ES"/>
        </w:rPr>
        <w:t xml:space="preserve">El </w:t>
      </w:r>
      <w:r w:rsidR="0004715D">
        <w:rPr>
          <w:rFonts w:eastAsia="Times New Roman"/>
          <w:sz w:val="20"/>
          <w:szCs w:val="20"/>
          <w:lang w:val="es-ES"/>
        </w:rPr>
        <w:t>Grupo de Trabajo Técnico (</w:t>
      </w:r>
      <w:r w:rsidR="00BB6AE6" w:rsidRPr="00202221">
        <w:rPr>
          <w:rFonts w:eastAsia="Times New Roman"/>
          <w:sz w:val="20"/>
          <w:szCs w:val="20"/>
          <w:lang w:val="es-ES"/>
        </w:rPr>
        <w:t>GTT</w:t>
      </w:r>
      <w:r w:rsidR="0004715D">
        <w:rPr>
          <w:rFonts w:eastAsia="Times New Roman"/>
          <w:sz w:val="20"/>
          <w:szCs w:val="20"/>
          <w:lang w:val="es-ES"/>
        </w:rPr>
        <w:t>)</w:t>
      </w:r>
      <w:r w:rsidR="00BB6AE6" w:rsidRPr="00202221">
        <w:rPr>
          <w:rFonts w:eastAsia="Times New Roman"/>
          <w:sz w:val="20"/>
          <w:szCs w:val="20"/>
          <w:lang w:val="es-ES"/>
        </w:rPr>
        <w:t xml:space="preserve"> sobre </w:t>
      </w:r>
      <w:r w:rsidR="000D24C8" w:rsidRPr="00202221">
        <w:rPr>
          <w:rFonts w:eastAsia="Times New Roman"/>
          <w:sz w:val="20"/>
          <w:szCs w:val="20"/>
          <w:lang w:val="es-ES"/>
        </w:rPr>
        <w:t xml:space="preserve">micronutrientes </w:t>
      </w:r>
      <w:r w:rsidR="00640932" w:rsidRPr="00202221">
        <w:rPr>
          <w:rFonts w:eastAsia="Times New Roman"/>
          <w:sz w:val="20"/>
          <w:szCs w:val="20"/>
          <w:lang w:val="es-ES"/>
        </w:rPr>
        <w:t xml:space="preserve">funcionará mientras exista la necesidad de abordar los objetivos y las tareas en el país. Si la necesidad sigue existiendo, pero el grupo está inactivo, es responsabilidad del Coordinador del </w:t>
      </w:r>
      <w:r w:rsidR="00CE1870">
        <w:rPr>
          <w:rFonts w:eastAsia="Times New Roman"/>
          <w:sz w:val="20"/>
          <w:szCs w:val="20"/>
          <w:lang w:val="es-ES"/>
        </w:rPr>
        <w:t>Cluster de Nutrición</w:t>
      </w:r>
      <w:r w:rsidR="00992BD7" w:rsidRPr="00202221">
        <w:rPr>
          <w:rFonts w:eastAsia="Times New Roman"/>
          <w:sz w:val="20"/>
          <w:szCs w:val="20"/>
          <w:lang w:val="es-ES"/>
        </w:rPr>
        <w:t xml:space="preserve"> (CC</w:t>
      </w:r>
      <w:r w:rsidR="00CE1870">
        <w:rPr>
          <w:rFonts w:eastAsia="Times New Roman"/>
          <w:sz w:val="20"/>
          <w:szCs w:val="20"/>
          <w:lang w:val="es-ES"/>
        </w:rPr>
        <w:t>N</w:t>
      </w:r>
      <w:r w:rsidR="00640932" w:rsidRPr="00202221">
        <w:rPr>
          <w:rFonts w:eastAsia="Times New Roman"/>
          <w:sz w:val="20"/>
          <w:szCs w:val="20"/>
          <w:lang w:val="es-ES"/>
        </w:rPr>
        <w:t xml:space="preserve">) solicitar un cambio de liderazgo para reactivar el grupo. </w:t>
      </w:r>
      <w:r w:rsidR="00992BD7" w:rsidRPr="00202221">
        <w:rPr>
          <w:rFonts w:eastAsia="Times New Roman"/>
          <w:sz w:val="20"/>
          <w:szCs w:val="20"/>
          <w:lang w:val="es-ES"/>
        </w:rPr>
        <w:t xml:space="preserve">Si el GTT de </w:t>
      </w:r>
      <w:r w:rsidR="000D24C8" w:rsidRPr="00202221">
        <w:rPr>
          <w:rFonts w:eastAsia="Times New Roman"/>
          <w:sz w:val="20"/>
          <w:szCs w:val="20"/>
          <w:lang w:val="es-ES"/>
        </w:rPr>
        <w:t xml:space="preserve">micronutrientes </w:t>
      </w:r>
      <w:r w:rsidR="00992BD7" w:rsidRPr="00202221">
        <w:rPr>
          <w:rFonts w:eastAsia="Times New Roman"/>
          <w:sz w:val="20"/>
          <w:szCs w:val="20"/>
          <w:lang w:val="es-ES"/>
        </w:rPr>
        <w:t xml:space="preserve">ya no es necesario, el </w:t>
      </w:r>
      <w:r w:rsidR="00CE1870">
        <w:rPr>
          <w:rFonts w:eastAsia="Times New Roman"/>
          <w:sz w:val="20"/>
          <w:szCs w:val="20"/>
          <w:lang w:val="es-ES"/>
        </w:rPr>
        <w:t>CC</w:t>
      </w:r>
      <w:r w:rsidR="00992BD7" w:rsidRPr="00202221">
        <w:rPr>
          <w:rFonts w:eastAsia="Times New Roman"/>
          <w:sz w:val="20"/>
          <w:szCs w:val="20"/>
          <w:lang w:val="es-ES"/>
        </w:rPr>
        <w:t xml:space="preserve">N </w:t>
      </w:r>
      <w:r w:rsidR="00690D32" w:rsidRPr="00202221">
        <w:rPr>
          <w:rFonts w:eastAsia="Times New Roman"/>
          <w:sz w:val="20"/>
          <w:szCs w:val="20"/>
          <w:lang w:val="es-ES"/>
        </w:rPr>
        <w:t xml:space="preserve">debe facilitar el debate con todos los socios del clúster con respecto al cierre del grupo, </w:t>
      </w:r>
      <w:r w:rsidR="00EA2AAA" w:rsidRPr="00202221">
        <w:rPr>
          <w:rFonts w:eastAsia="Times New Roman"/>
          <w:sz w:val="20"/>
          <w:szCs w:val="20"/>
          <w:lang w:val="es-ES"/>
        </w:rPr>
        <w:t>garantizando el liderazgo del gobierno en el avance del programa de</w:t>
      </w:r>
      <w:r w:rsidR="000D24C8" w:rsidRPr="00202221">
        <w:rPr>
          <w:rFonts w:eastAsia="Times New Roman"/>
          <w:sz w:val="20"/>
          <w:szCs w:val="20"/>
          <w:lang w:val="es-ES"/>
        </w:rPr>
        <w:t xml:space="preserve"> micronutrientes </w:t>
      </w:r>
      <w:r w:rsidR="00EA2AAA" w:rsidRPr="00202221">
        <w:rPr>
          <w:rFonts w:eastAsia="Times New Roman"/>
          <w:sz w:val="20"/>
          <w:szCs w:val="20"/>
          <w:lang w:val="es-ES"/>
        </w:rPr>
        <w:t>para evitar un vacío en la supervisión</w:t>
      </w:r>
      <w:r w:rsidR="00461BAC" w:rsidRPr="00202221">
        <w:rPr>
          <w:rFonts w:eastAsia="Times New Roman"/>
          <w:sz w:val="20"/>
          <w:szCs w:val="20"/>
          <w:lang w:val="es-ES"/>
        </w:rPr>
        <w:t xml:space="preserve">. </w:t>
      </w:r>
    </w:p>
    <w:p w14:paraId="7BF94BB1" w14:textId="77777777" w:rsidR="001B130B" w:rsidRPr="00202221" w:rsidRDefault="000B501B" w:rsidP="001B130B">
      <w:pPr>
        <w:rPr>
          <w:b/>
          <w:sz w:val="20"/>
          <w:szCs w:val="20"/>
          <w:lang w:val="es-ES"/>
        </w:rPr>
      </w:pPr>
      <w:r w:rsidRPr="00202221">
        <w:rPr>
          <w:b/>
          <w:sz w:val="20"/>
          <w:szCs w:val="20"/>
          <w:lang w:val="es-ES"/>
        </w:rPr>
        <w:t>MEMBRESÍA</w:t>
      </w:r>
    </w:p>
    <w:p w14:paraId="25D9B3D3" w14:textId="34C858E8" w:rsidR="000B501B" w:rsidRPr="00202221" w:rsidRDefault="00783F72" w:rsidP="000B501B">
      <w:pPr>
        <w:shd w:val="clear" w:color="auto" w:fill="FFFFFF"/>
        <w:spacing w:before="100" w:beforeAutospacing="1" w:after="225" w:line="240" w:lineRule="auto"/>
        <w:rPr>
          <w:rFonts w:eastAsia="Times New Roman"/>
          <w:i/>
          <w:color w:val="92D050"/>
          <w:sz w:val="20"/>
          <w:szCs w:val="20"/>
          <w:lang w:val="es-ES"/>
        </w:rPr>
      </w:pPr>
      <w:r w:rsidRPr="00202221">
        <w:rPr>
          <w:rFonts w:eastAsia="Times New Roman"/>
          <w:i/>
          <w:color w:val="92D050"/>
          <w:sz w:val="20"/>
          <w:szCs w:val="20"/>
          <w:lang w:val="es-ES"/>
        </w:rPr>
        <w:t xml:space="preserve">El </w:t>
      </w:r>
      <w:r w:rsidR="000B501B" w:rsidRPr="00202221">
        <w:rPr>
          <w:rFonts w:eastAsia="Times New Roman"/>
          <w:i/>
          <w:color w:val="92D050"/>
          <w:sz w:val="20"/>
          <w:szCs w:val="20"/>
          <w:lang w:val="es-ES"/>
        </w:rPr>
        <w:t xml:space="preserve">siguiente texto es adaptable y trata de responder a las siguientes preguntas: ¿a </w:t>
      </w:r>
      <w:r w:rsidR="0050529B" w:rsidRPr="00202221">
        <w:rPr>
          <w:rFonts w:eastAsia="Times New Roman"/>
          <w:i/>
          <w:color w:val="92D050"/>
          <w:sz w:val="20"/>
          <w:szCs w:val="20"/>
          <w:lang w:val="es-ES"/>
        </w:rPr>
        <w:t xml:space="preserve">quién está </w:t>
      </w:r>
      <w:r w:rsidR="000B501B" w:rsidRPr="00202221">
        <w:rPr>
          <w:rFonts w:eastAsia="Times New Roman"/>
          <w:i/>
          <w:color w:val="92D050"/>
          <w:sz w:val="20"/>
          <w:szCs w:val="20"/>
          <w:lang w:val="es-ES"/>
        </w:rPr>
        <w:t xml:space="preserve">abierta la afiliación al grupo? ¿Existen criterios para ser miembro? ¿Existen criterios para seguir siendo miembro? ¿Existen restricciones en cuanto al número de miembros? ¿Cuál es la duración de la afiliación y puede ser prorrogada? </w:t>
      </w:r>
      <w:r w:rsidR="00136D30" w:rsidRPr="00202221">
        <w:rPr>
          <w:rFonts w:eastAsia="Times New Roman"/>
          <w:i/>
          <w:color w:val="92D050"/>
          <w:sz w:val="20"/>
          <w:szCs w:val="20"/>
          <w:lang w:val="es-ES"/>
        </w:rPr>
        <w:t>]</w:t>
      </w:r>
    </w:p>
    <w:p w14:paraId="2BD461AC" w14:textId="012D77F5" w:rsidR="0025228D" w:rsidRPr="00202221" w:rsidRDefault="0025228D" w:rsidP="0050529B">
      <w:pPr>
        <w:shd w:val="clear" w:color="auto" w:fill="FFFFFF"/>
        <w:spacing w:before="100" w:beforeAutospacing="1" w:after="225" w:line="240" w:lineRule="auto"/>
        <w:jc w:val="both"/>
        <w:rPr>
          <w:rFonts w:eastAsia="Times New Roman"/>
          <w:sz w:val="20"/>
          <w:szCs w:val="20"/>
          <w:lang w:val="es-ES"/>
        </w:rPr>
      </w:pPr>
      <w:r w:rsidRPr="00202221">
        <w:rPr>
          <w:rFonts w:eastAsia="Times New Roman"/>
          <w:sz w:val="20"/>
          <w:szCs w:val="20"/>
          <w:lang w:val="es-ES"/>
        </w:rPr>
        <w:t xml:space="preserve">La afiliación se concede a las organizaciones que ejecutan actividades de </w:t>
      </w:r>
      <w:r w:rsidR="001C2285" w:rsidRPr="00202221">
        <w:rPr>
          <w:rFonts w:eastAsia="Times New Roman"/>
          <w:sz w:val="20"/>
          <w:szCs w:val="20"/>
          <w:lang w:val="es-ES"/>
        </w:rPr>
        <w:t xml:space="preserve">programas de micronutrientes </w:t>
      </w:r>
      <w:r w:rsidRPr="00202221">
        <w:rPr>
          <w:rFonts w:eastAsia="Times New Roman"/>
          <w:sz w:val="20"/>
          <w:szCs w:val="20"/>
          <w:lang w:val="es-ES"/>
        </w:rPr>
        <w:t xml:space="preserve">y no a individuos. Se ruega a cada organización </w:t>
      </w:r>
      <w:r w:rsidR="006D149A" w:rsidRPr="00202221">
        <w:rPr>
          <w:rFonts w:eastAsia="Times New Roman"/>
          <w:sz w:val="20"/>
          <w:szCs w:val="20"/>
          <w:lang w:val="es-ES"/>
        </w:rPr>
        <w:t xml:space="preserve">seleccionada para formar parte del grupo </w:t>
      </w:r>
      <w:r w:rsidRPr="00202221">
        <w:rPr>
          <w:rFonts w:eastAsia="Times New Roman"/>
          <w:sz w:val="20"/>
          <w:szCs w:val="20"/>
          <w:lang w:val="es-ES"/>
        </w:rPr>
        <w:t>que designe a una persona de contacto para garantizar la coherencia de la representación y facilitar la comunicación. El CC</w:t>
      </w:r>
      <w:r w:rsidR="009A3CA1">
        <w:rPr>
          <w:rFonts w:eastAsia="Times New Roman"/>
          <w:sz w:val="20"/>
          <w:szCs w:val="20"/>
          <w:lang w:val="es-ES"/>
        </w:rPr>
        <w:t>N</w:t>
      </w:r>
      <w:r w:rsidRPr="00202221">
        <w:rPr>
          <w:rFonts w:eastAsia="Times New Roman"/>
          <w:sz w:val="20"/>
          <w:szCs w:val="20"/>
          <w:lang w:val="es-ES"/>
        </w:rPr>
        <w:t xml:space="preserve"> </w:t>
      </w:r>
      <w:r w:rsidR="0040300A" w:rsidRPr="00202221">
        <w:rPr>
          <w:rFonts w:eastAsia="Times New Roman"/>
          <w:sz w:val="20"/>
          <w:szCs w:val="20"/>
          <w:lang w:val="es-ES"/>
        </w:rPr>
        <w:t xml:space="preserve">es responsable de ponerse en contacto con los organismos que ejecutan programas </w:t>
      </w:r>
      <w:r w:rsidR="000D24C8" w:rsidRPr="00202221">
        <w:rPr>
          <w:rFonts w:eastAsia="Times New Roman"/>
          <w:sz w:val="20"/>
          <w:szCs w:val="20"/>
          <w:lang w:val="es-ES"/>
        </w:rPr>
        <w:t xml:space="preserve">de </w:t>
      </w:r>
      <w:r w:rsidR="001C2285" w:rsidRPr="00202221">
        <w:rPr>
          <w:rFonts w:eastAsia="Times New Roman"/>
          <w:sz w:val="20"/>
          <w:szCs w:val="20"/>
          <w:lang w:val="es-ES"/>
        </w:rPr>
        <w:t>micronutrientes</w:t>
      </w:r>
      <w:r w:rsidR="0040300A" w:rsidRPr="00202221">
        <w:rPr>
          <w:rFonts w:eastAsia="Times New Roman"/>
          <w:sz w:val="20"/>
          <w:szCs w:val="20"/>
          <w:lang w:val="es-ES"/>
        </w:rPr>
        <w:t xml:space="preserve">. </w:t>
      </w:r>
      <w:r w:rsidR="0000320F" w:rsidRPr="00202221">
        <w:rPr>
          <w:rFonts w:eastAsia="Times New Roman"/>
          <w:sz w:val="20"/>
          <w:szCs w:val="20"/>
          <w:lang w:val="es-ES"/>
        </w:rPr>
        <w:t xml:space="preserve">El GTT también es responsable de invitar a instituciones gubernamentales, investigadores y académicos, asociaciones pediátricas, agentes de desarrollo nacionales o locales, y otros </w:t>
      </w:r>
      <w:r w:rsidR="00E411E8" w:rsidRPr="00202221">
        <w:rPr>
          <w:rFonts w:eastAsia="Times New Roman"/>
          <w:sz w:val="20"/>
          <w:szCs w:val="20"/>
          <w:lang w:val="es-ES"/>
        </w:rPr>
        <w:t>colegas</w:t>
      </w:r>
      <w:r w:rsidR="0000320F" w:rsidRPr="00202221">
        <w:rPr>
          <w:rFonts w:eastAsia="Times New Roman"/>
          <w:sz w:val="20"/>
          <w:szCs w:val="20"/>
          <w:lang w:val="es-ES"/>
        </w:rPr>
        <w:t xml:space="preserve"> del sector </w:t>
      </w:r>
      <w:r w:rsidR="00E411E8" w:rsidRPr="00202221">
        <w:rPr>
          <w:rFonts w:eastAsia="Times New Roman"/>
          <w:sz w:val="20"/>
          <w:szCs w:val="20"/>
          <w:lang w:val="es-ES"/>
        </w:rPr>
        <w:t xml:space="preserve">que estén involucrados en los </w:t>
      </w:r>
      <w:r w:rsidR="001C2285" w:rsidRPr="00202221">
        <w:rPr>
          <w:rFonts w:eastAsia="Times New Roman"/>
          <w:sz w:val="20"/>
          <w:szCs w:val="20"/>
          <w:lang w:val="es-ES"/>
        </w:rPr>
        <w:t xml:space="preserve">micronutrientes </w:t>
      </w:r>
      <w:r w:rsidR="0000320F" w:rsidRPr="00202221">
        <w:rPr>
          <w:rFonts w:eastAsia="Times New Roman"/>
          <w:sz w:val="20"/>
          <w:szCs w:val="20"/>
          <w:lang w:val="es-ES"/>
        </w:rPr>
        <w:t xml:space="preserve">a ser miembros del GTT de </w:t>
      </w:r>
      <w:r w:rsidR="001C2285" w:rsidRPr="00202221">
        <w:rPr>
          <w:rFonts w:eastAsia="Times New Roman"/>
          <w:sz w:val="20"/>
          <w:szCs w:val="20"/>
          <w:lang w:val="es-ES"/>
        </w:rPr>
        <w:t xml:space="preserve">micronutrientes </w:t>
      </w:r>
      <w:r w:rsidR="0000320F" w:rsidRPr="00202221">
        <w:rPr>
          <w:rFonts w:eastAsia="Times New Roman"/>
          <w:sz w:val="20"/>
          <w:szCs w:val="20"/>
          <w:lang w:val="es-ES"/>
        </w:rPr>
        <w:t xml:space="preserve">para enriquecer el tema cuando sea </w:t>
      </w:r>
      <w:r w:rsidR="00690D32" w:rsidRPr="00202221">
        <w:rPr>
          <w:rFonts w:eastAsia="Times New Roman"/>
          <w:sz w:val="20"/>
          <w:szCs w:val="20"/>
          <w:lang w:val="es-ES"/>
        </w:rPr>
        <w:t>necesario</w:t>
      </w:r>
      <w:r w:rsidR="0000320F" w:rsidRPr="00202221">
        <w:rPr>
          <w:rFonts w:eastAsia="Times New Roman"/>
          <w:sz w:val="20"/>
          <w:szCs w:val="20"/>
          <w:lang w:val="es-ES"/>
        </w:rPr>
        <w:t xml:space="preserve">. Si esas instituciones no son miembros, habría que mantenerlas informadas del trabajo del grupo e invitarlas a participar en determinadas reuniones. </w:t>
      </w:r>
      <w:r w:rsidR="00690D32" w:rsidRPr="00202221">
        <w:rPr>
          <w:rFonts w:eastAsia="Times New Roman"/>
          <w:sz w:val="20"/>
          <w:szCs w:val="20"/>
          <w:lang w:val="es-ES"/>
        </w:rPr>
        <w:t xml:space="preserve">No se recomienda que </w:t>
      </w:r>
      <w:r w:rsidR="0000320F" w:rsidRPr="00202221">
        <w:rPr>
          <w:rFonts w:eastAsia="Times New Roman"/>
          <w:sz w:val="20"/>
          <w:szCs w:val="20"/>
          <w:lang w:val="es-ES"/>
        </w:rPr>
        <w:t xml:space="preserve">el GTT </w:t>
      </w:r>
      <w:r w:rsidR="00461BAC" w:rsidRPr="00202221">
        <w:rPr>
          <w:rFonts w:eastAsia="Times New Roman"/>
          <w:sz w:val="20"/>
          <w:szCs w:val="20"/>
          <w:lang w:val="es-ES"/>
        </w:rPr>
        <w:t xml:space="preserve">sea un </w:t>
      </w:r>
      <w:r w:rsidR="0000320F" w:rsidRPr="00202221">
        <w:rPr>
          <w:rFonts w:eastAsia="Times New Roman"/>
          <w:sz w:val="20"/>
          <w:szCs w:val="20"/>
          <w:lang w:val="es-ES"/>
        </w:rPr>
        <w:t xml:space="preserve">grupo grande, lo óptimo es que tenga menos de 10 miembros. </w:t>
      </w:r>
    </w:p>
    <w:p w14:paraId="0DB3C9EC" w14:textId="1AE9AB50" w:rsidR="00DD6CD4" w:rsidRPr="00202221" w:rsidRDefault="0025228D" w:rsidP="0050529B">
      <w:pPr>
        <w:autoSpaceDE w:val="0"/>
        <w:autoSpaceDN w:val="0"/>
        <w:adjustRightInd w:val="0"/>
        <w:spacing w:after="0" w:line="240" w:lineRule="auto"/>
        <w:jc w:val="both"/>
        <w:rPr>
          <w:rFonts w:eastAsia="Times New Roman"/>
          <w:sz w:val="20"/>
          <w:szCs w:val="20"/>
          <w:lang w:val="es-ES"/>
        </w:rPr>
      </w:pPr>
      <w:r w:rsidRPr="00202221">
        <w:rPr>
          <w:rFonts w:eastAsia="Times New Roman"/>
          <w:sz w:val="20"/>
          <w:szCs w:val="20"/>
          <w:lang w:val="es-ES"/>
        </w:rPr>
        <w:t xml:space="preserve">Las personas elegidas como puntos focales </w:t>
      </w:r>
      <w:r w:rsidR="0040300A" w:rsidRPr="00202221">
        <w:rPr>
          <w:rFonts w:eastAsia="Times New Roman"/>
          <w:sz w:val="20"/>
          <w:szCs w:val="20"/>
          <w:lang w:val="es-ES"/>
        </w:rPr>
        <w:t xml:space="preserve">de sus organizaciones </w:t>
      </w:r>
      <w:r w:rsidR="000B501B" w:rsidRPr="00202221">
        <w:rPr>
          <w:rFonts w:eastAsia="Times New Roman"/>
          <w:sz w:val="20"/>
          <w:szCs w:val="20"/>
          <w:lang w:val="es-ES"/>
        </w:rPr>
        <w:t xml:space="preserve">deben tener conocimientos sobre la </w:t>
      </w:r>
      <w:r w:rsidRPr="00202221">
        <w:rPr>
          <w:rFonts w:eastAsia="Times New Roman"/>
          <w:sz w:val="20"/>
          <w:szCs w:val="20"/>
          <w:lang w:val="es-ES"/>
        </w:rPr>
        <w:t xml:space="preserve">programación de </w:t>
      </w:r>
      <w:r w:rsidR="001C2285" w:rsidRPr="00202221">
        <w:rPr>
          <w:rFonts w:eastAsia="Times New Roman"/>
          <w:sz w:val="20"/>
          <w:szCs w:val="20"/>
          <w:lang w:val="es-ES"/>
        </w:rPr>
        <w:t>micronutrientes</w:t>
      </w:r>
      <w:r w:rsidR="000B501B" w:rsidRPr="00202221">
        <w:rPr>
          <w:rFonts w:eastAsia="Times New Roman"/>
          <w:sz w:val="20"/>
          <w:szCs w:val="20"/>
          <w:lang w:val="es-ES"/>
        </w:rPr>
        <w:t xml:space="preserve">. Si </w:t>
      </w:r>
      <w:r w:rsidRPr="00202221">
        <w:rPr>
          <w:rFonts w:eastAsia="Times New Roman"/>
          <w:sz w:val="20"/>
          <w:szCs w:val="20"/>
          <w:lang w:val="es-ES"/>
        </w:rPr>
        <w:t xml:space="preserve">un miembro no lo está, deberá comprometerse </w:t>
      </w:r>
      <w:r w:rsidR="000B501B" w:rsidRPr="00202221">
        <w:rPr>
          <w:rFonts w:eastAsia="Times New Roman"/>
          <w:sz w:val="20"/>
          <w:szCs w:val="20"/>
          <w:lang w:val="es-ES"/>
        </w:rPr>
        <w:t xml:space="preserve">a desarrollar su </w:t>
      </w:r>
      <w:r w:rsidRPr="00202221">
        <w:rPr>
          <w:rFonts w:eastAsia="Times New Roman"/>
          <w:sz w:val="20"/>
          <w:szCs w:val="20"/>
          <w:lang w:val="es-ES"/>
        </w:rPr>
        <w:t xml:space="preserve">propia </w:t>
      </w:r>
      <w:r w:rsidR="000B501B" w:rsidRPr="00202221">
        <w:rPr>
          <w:rFonts w:eastAsia="Times New Roman"/>
          <w:sz w:val="20"/>
          <w:szCs w:val="20"/>
          <w:lang w:val="es-ES"/>
        </w:rPr>
        <w:t>capacidad</w:t>
      </w:r>
      <w:r w:rsidRPr="00202221">
        <w:rPr>
          <w:rFonts w:eastAsia="Times New Roman"/>
          <w:sz w:val="20"/>
          <w:szCs w:val="20"/>
          <w:lang w:val="es-ES"/>
        </w:rPr>
        <w:t xml:space="preserve">. La capacidad </w:t>
      </w:r>
      <w:r w:rsidR="0040300A" w:rsidRPr="00202221">
        <w:rPr>
          <w:rFonts w:eastAsia="Times New Roman"/>
          <w:sz w:val="20"/>
          <w:szCs w:val="20"/>
          <w:lang w:val="es-ES"/>
        </w:rPr>
        <w:t xml:space="preserve">técnica en materia de programación de </w:t>
      </w:r>
      <w:r w:rsidR="001C2285" w:rsidRPr="00202221">
        <w:rPr>
          <w:rFonts w:eastAsia="Times New Roman"/>
          <w:sz w:val="20"/>
          <w:szCs w:val="20"/>
          <w:lang w:val="es-ES"/>
        </w:rPr>
        <w:t xml:space="preserve">micronutrientes </w:t>
      </w:r>
      <w:r w:rsidRPr="00202221">
        <w:rPr>
          <w:rFonts w:eastAsia="Times New Roman"/>
          <w:sz w:val="20"/>
          <w:szCs w:val="20"/>
          <w:lang w:val="es-ES"/>
        </w:rPr>
        <w:t xml:space="preserve">puede mejorarse mediante la lectura de los recursos cuyos títulos se ofrecen en la sección de documentos orientativos que figura más abajo y la realización de </w:t>
      </w:r>
      <w:r w:rsidR="000B501B" w:rsidRPr="00202221">
        <w:rPr>
          <w:rFonts w:eastAsia="Times New Roman"/>
          <w:sz w:val="20"/>
          <w:szCs w:val="20"/>
          <w:lang w:val="es-ES"/>
        </w:rPr>
        <w:t xml:space="preserve">cursos de formación sobre el tema. </w:t>
      </w:r>
    </w:p>
    <w:p w14:paraId="45560C52" w14:textId="77777777" w:rsidR="00DD6CD4" w:rsidRPr="00202221" w:rsidRDefault="00DD6CD4" w:rsidP="0050529B">
      <w:pPr>
        <w:autoSpaceDE w:val="0"/>
        <w:autoSpaceDN w:val="0"/>
        <w:adjustRightInd w:val="0"/>
        <w:spacing w:after="0" w:line="240" w:lineRule="auto"/>
        <w:jc w:val="both"/>
        <w:rPr>
          <w:rFonts w:eastAsia="Times New Roman"/>
          <w:sz w:val="20"/>
          <w:szCs w:val="20"/>
          <w:lang w:val="es-ES"/>
        </w:rPr>
      </w:pPr>
    </w:p>
    <w:p w14:paraId="2BE8AFF9" w14:textId="3660B4EE" w:rsidR="00B078C3" w:rsidRPr="00202221" w:rsidRDefault="00B078C3" w:rsidP="0050529B">
      <w:pPr>
        <w:pStyle w:val="Sinespaciado"/>
        <w:jc w:val="both"/>
        <w:rPr>
          <w:sz w:val="20"/>
          <w:szCs w:val="20"/>
          <w:lang w:val="es-ES"/>
        </w:rPr>
      </w:pPr>
      <w:r w:rsidRPr="00202221">
        <w:rPr>
          <w:sz w:val="20"/>
          <w:szCs w:val="20"/>
          <w:lang w:val="es-ES"/>
        </w:rPr>
        <w:t xml:space="preserve">Se espera que los miembros asistan al menos al 70% de las reuniones. También se espera que los miembros lleven a cabo actividades adicionales, tal y como se indica en los términos de referencia anteriores. Es esencial que los organismos y personas que ocupen estos puestos se comprometan a cumplir con sus responsabilidades. Cuando un miembro no </w:t>
      </w:r>
      <w:r w:rsidR="00E411E8" w:rsidRPr="00202221">
        <w:rPr>
          <w:sz w:val="20"/>
          <w:szCs w:val="20"/>
          <w:lang w:val="es-ES"/>
        </w:rPr>
        <w:t xml:space="preserve">participe activamente en las </w:t>
      </w:r>
      <w:r w:rsidRPr="00202221">
        <w:rPr>
          <w:sz w:val="20"/>
          <w:szCs w:val="20"/>
          <w:lang w:val="es-ES"/>
        </w:rPr>
        <w:t xml:space="preserve">reuniones del GTT sobre </w:t>
      </w:r>
      <w:r w:rsidR="001C2285" w:rsidRPr="00202221">
        <w:rPr>
          <w:sz w:val="20"/>
          <w:szCs w:val="20"/>
          <w:lang w:val="es-ES"/>
        </w:rPr>
        <w:t xml:space="preserve">micronutrientes </w:t>
      </w:r>
      <w:r w:rsidRPr="00202221">
        <w:rPr>
          <w:sz w:val="20"/>
          <w:szCs w:val="20"/>
          <w:lang w:val="es-ES"/>
        </w:rPr>
        <w:t>ni en las actividades de apoyo, se le podrá pedir que abandone el grupo.</w:t>
      </w:r>
    </w:p>
    <w:p w14:paraId="18CD41B5" w14:textId="426F672E" w:rsidR="000B501B" w:rsidRPr="00202221" w:rsidRDefault="000B501B" w:rsidP="0050529B">
      <w:pPr>
        <w:shd w:val="clear" w:color="auto" w:fill="FFFFFF"/>
        <w:spacing w:before="100" w:beforeAutospacing="1" w:after="225" w:line="240" w:lineRule="auto"/>
        <w:jc w:val="both"/>
        <w:rPr>
          <w:rFonts w:eastAsia="Times New Roman"/>
          <w:sz w:val="20"/>
          <w:szCs w:val="20"/>
          <w:lang w:val="es-ES"/>
        </w:rPr>
      </w:pPr>
      <w:r w:rsidRPr="00202221">
        <w:rPr>
          <w:rFonts w:eastAsia="Times New Roman"/>
          <w:sz w:val="20"/>
          <w:szCs w:val="20"/>
          <w:lang w:val="es-ES"/>
        </w:rPr>
        <w:lastRenderedPageBreak/>
        <w:t xml:space="preserve">A los miembros </w:t>
      </w:r>
      <w:r w:rsidR="0040300A" w:rsidRPr="00202221">
        <w:rPr>
          <w:rFonts w:eastAsia="Times New Roman"/>
          <w:sz w:val="20"/>
          <w:szCs w:val="20"/>
          <w:lang w:val="es-ES"/>
        </w:rPr>
        <w:t xml:space="preserve">que </w:t>
      </w:r>
      <w:r w:rsidRPr="00202221">
        <w:rPr>
          <w:rFonts w:eastAsia="Times New Roman"/>
          <w:sz w:val="20"/>
          <w:szCs w:val="20"/>
          <w:lang w:val="es-ES"/>
        </w:rPr>
        <w:t xml:space="preserve">no asistan a tres </w:t>
      </w:r>
      <w:r w:rsidR="00690D32" w:rsidRPr="00202221">
        <w:rPr>
          <w:rFonts w:eastAsia="Times New Roman"/>
          <w:sz w:val="20"/>
          <w:szCs w:val="20"/>
          <w:lang w:val="es-ES"/>
        </w:rPr>
        <w:t xml:space="preserve">reuniones consecutivas se les podrá pedir </w:t>
      </w:r>
      <w:r w:rsidR="00B078C3" w:rsidRPr="00202221">
        <w:rPr>
          <w:rFonts w:eastAsia="Times New Roman"/>
          <w:sz w:val="20"/>
          <w:szCs w:val="20"/>
          <w:lang w:val="es-ES"/>
        </w:rPr>
        <w:t>que abandonen el grupo</w:t>
      </w:r>
      <w:r w:rsidRPr="00202221">
        <w:rPr>
          <w:rFonts w:eastAsia="Times New Roman"/>
          <w:sz w:val="20"/>
          <w:szCs w:val="20"/>
          <w:lang w:val="es-ES"/>
        </w:rPr>
        <w:t xml:space="preserve">. Los miembros </w:t>
      </w:r>
      <w:r w:rsidR="0040300A" w:rsidRPr="00202221">
        <w:rPr>
          <w:rFonts w:eastAsia="Times New Roman"/>
          <w:sz w:val="20"/>
          <w:szCs w:val="20"/>
          <w:lang w:val="es-ES"/>
        </w:rPr>
        <w:t xml:space="preserve">que </w:t>
      </w:r>
      <w:r w:rsidRPr="00202221">
        <w:rPr>
          <w:rFonts w:eastAsia="Times New Roman"/>
          <w:sz w:val="20"/>
          <w:szCs w:val="20"/>
          <w:lang w:val="es-ES"/>
        </w:rPr>
        <w:t xml:space="preserve">no realicen la tarea solicitada </w:t>
      </w:r>
      <w:r w:rsidR="0040300A" w:rsidRPr="00202221">
        <w:rPr>
          <w:rFonts w:eastAsia="Times New Roman"/>
          <w:sz w:val="20"/>
          <w:szCs w:val="20"/>
          <w:lang w:val="es-ES"/>
        </w:rPr>
        <w:t xml:space="preserve">por el grupo después de tres </w:t>
      </w:r>
      <w:r w:rsidR="0000320F" w:rsidRPr="00202221">
        <w:rPr>
          <w:rFonts w:eastAsia="Times New Roman"/>
          <w:sz w:val="20"/>
          <w:szCs w:val="20"/>
          <w:lang w:val="es-ES"/>
        </w:rPr>
        <w:t xml:space="preserve">veces consecutivas pueden ser invitados </w:t>
      </w:r>
      <w:r w:rsidR="00B078C3" w:rsidRPr="00202221">
        <w:rPr>
          <w:rFonts w:eastAsia="Times New Roman"/>
          <w:sz w:val="20"/>
          <w:szCs w:val="20"/>
          <w:lang w:val="es-ES"/>
        </w:rPr>
        <w:t>a abandonar el grupo</w:t>
      </w:r>
      <w:r w:rsidRPr="00202221">
        <w:rPr>
          <w:rFonts w:eastAsia="Times New Roman"/>
          <w:sz w:val="20"/>
          <w:szCs w:val="20"/>
          <w:lang w:val="es-ES"/>
        </w:rPr>
        <w:t xml:space="preserve">. </w:t>
      </w:r>
    </w:p>
    <w:p w14:paraId="155E7FE5" w14:textId="77777777" w:rsidR="000B501B" w:rsidRPr="00202221" w:rsidRDefault="000B501B" w:rsidP="0050529B">
      <w:pPr>
        <w:shd w:val="clear" w:color="auto" w:fill="FFFFFF"/>
        <w:spacing w:before="100" w:beforeAutospacing="1" w:after="225" w:line="240" w:lineRule="auto"/>
        <w:jc w:val="both"/>
        <w:rPr>
          <w:rFonts w:eastAsia="Times New Roman"/>
          <w:sz w:val="20"/>
          <w:szCs w:val="20"/>
          <w:lang w:val="es-ES"/>
        </w:rPr>
      </w:pPr>
      <w:r w:rsidRPr="00202221">
        <w:rPr>
          <w:rFonts w:eastAsia="Times New Roman"/>
          <w:sz w:val="20"/>
          <w:szCs w:val="20"/>
          <w:lang w:val="es-ES"/>
        </w:rPr>
        <w:t xml:space="preserve">Se recomienda tener una afiliación fija de un año que pueda ser evaluada al final del plazo. </w:t>
      </w:r>
    </w:p>
    <w:p w14:paraId="1C00951A" w14:textId="77777777" w:rsidR="00992BD7" w:rsidRPr="002361A4" w:rsidRDefault="00992BD7" w:rsidP="00992BD7">
      <w:pPr>
        <w:rPr>
          <w:b/>
          <w:sz w:val="20"/>
          <w:szCs w:val="20"/>
          <w:lang w:val="es-ES"/>
        </w:rPr>
      </w:pPr>
      <w:r w:rsidRPr="002361A4">
        <w:rPr>
          <w:b/>
          <w:sz w:val="20"/>
          <w:szCs w:val="20"/>
          <w:lang w:val="es-ES"/>
        </w:rPr>
        <w:t>LIDERAZGO</w:t>
      </w:r>
    </w:p>
    <w:p w14:paraId="5D64D079" w14:textId="35B3D780" w:rsidR="00992BD7" w:rsidRPr="00202221" w:rsidRDefault="00783F72" w:rsidP="00992BD7">
      <w:pPr>
        <w:shd w:val="clear" w:color="auto" w:fill="FFFFFF"/>
        <w:spacing w:before="100" w:beforeAutospacing="1" w:after="225" w:line="240" w:lineRule="auto"/>
        <w:rPr>
          <w:rFonts w:eastAsia="Times New Roman"/>
          <w:i/>
          <w:color w:val="92D050"/>
          <w:sz w:val="20"/>
          <w:szCs w:val="20"/>
          <w:lang w:val="es-ES"/>
        </w:rPr>
      </w:pPr>
      <w:r w:rsidRPr="002361A4">
        <w:rPr>
          <w:rFonts w:eastAsia="Times New Roman"/>
          <w:i/>
          <w:color w:val="92D050"/>
          <w:sz w:val="20"/>
          <w:szCs w:val="20"/>
          <w:lang w:val="es-ES"/>
        </w:rPr>
        <w:t xml:space="preserve">El </w:t>
      </w:r>
      <w:r w:rsidR="00992BD7" w:rsidRPr="002361A4">
        <w:rPr>
          <w:rFonts w:eastAsia="Times New Roman"/>
          <w:i/>
          <w:color w:val="92D050"/>
          <w:sz w:val="20"/>
          <w:szCs w:val="20"/>
          <w:lang w:val="es-ES"/>
        </w:rPr>
        <w:t>siguiente texto es adaptable y trata de responder a las siguientes preguntas: ¿Quién dirige el grupo? ¿Cómo se eligen los líderes? ¿Existe una formación u orientación que el líder deba conocer? ¿Hay responsabilidades que el líder deba asumir? Si es así, ¿cuáles son? ¿El líder del grupo es rotativo? ¿Se evaluará el trabajo del líder]?</w:t>
      </w:r>
    </w:p>
    <w:p w14:paraId="7F9E9D7A" w14:textId="59D61385" w:rsidR="00992BD7" w:rsidRPr="00202221" w:rsidRDefault="00992BD7" w:rsidP="00992BD7">
      <w:pPr>
        <w:shd w:val="clear" w:color="auto" w:fill="FFFFFF"/>
        <w:spacing w:before="100" w:beforeAutospacing="1" w:after="225" w:line="240" w:lineRule="auto"/>
        <w:jc w:val="both"/>
        <w:rPr>
          <w:rFonts w:eastAsia="Times New Roman"/>
          <w:sz w:val="20"/>
          <w:szCs w:val="20"/>
          <w:lang w:val="es-ES"/>
        </w:rPr>
      </w:pPr>
      <w:r w:rsidRPr="00202221">
        <w:rPr>
          <w:rFonts w:eastAsia="Times New Roman"/>
          <w:sz w:val="20"/>
          <w:szCs w:val="20"/>
          <w:lang w:val="es-ES"/>
        </w:rPr>
        <w:t xml:space="preserve">El grupo de trabajo sobre </w:t>
      </w:r>
      <w:r w:rsidR="001C2285" w:rsidRPr="00202221">
        <w:rPr>
          <w:rFonts w:eastAsia="Times New Roman"/>
          <w:sz w:val="20"/>
          <w:szCs w:val="20"/>
          <w:lang w:val="es-ES"/>
        </w:rPr>
        <w:t xml:space="preserve">micronutrientes </w:t>
      </w:r>
      <w:r w:rsidRPr="00202221">
        <w:rPr>
          <w:rFonts w:eastAsia="Times New Roman"/>
          <w:sz w:val="20"/>
          <w:szCs w:val="20"/>
          <w:lang w:val="es-ES"/>
        </w:rPr>
        <w:t xml:space="preserve">tiene </w:t>
      </w:r>
      <w:r w:rsidRPr="002361A4">
        <w:rPr>
          <w:rFonts w:eastAsia="Times New Roman"/>
          <w:sz w:val="20"/>
          <w:szCs w:val="20"/>
          <w:lang w:val="es-ES"/>
        </w:rPr>
        <w:t>dos co</w:t>
      </w:r>
      <w:r w:rsidR="002361A4" w:rsidRPr="002361A4">
        <w:rPr>
          <w:rFonts w:eastAsia="Times New Roman"/>
          <w:sz w:val="20"/>
          <w:szCs w:val="20"/>
          <w:lang w:val="es-ES"/>
        </w:rPr>
        <w:t>líderes</w:t>
      </w:r>
      <w:r w:rsidRPr="002361A4">
        <w:rPr>
          <w:rFonts w:eastAsia="Times New Roman"/>
          <w:sz w:val="20"/>
          <w:szCs w:val="20"/>
          <w:lang w:val="es-ES"/>
        </w:rPr>
        <w:t xml:space="preserve"> elegidos por rotación durante un año, cada uno de los cuales es responsable de </w:t>
      </w:r>
      <w:r w:rsidR="006418D2">
        <w:rPr>
          <w:rFonts w:eastAsia="Times New Roman"/>
          <w:sz w:val="20"/>
          <w:szCs w:val="20"/>
          <w:lang w:val="es-ES"/>
        </w:rPr>
        <w:t>liderar</w:t>
      </w:r>
      <w:r w:rsidRPr="002361A4">
        <w:rPr>
          <w:rFonts w:eastAsia="Times New Roman"/>
          <w:sz w:val="20"/>
          <w:szCs w:val="20"/>
          <w:lang w:val="es-ES"/>
        </w:rPr>
        <w:t xml:space="preserve"> el grupo durante 6 meses. Cada 6 meses</w:t>
      </w:r>
      <w:r w:rsidRPr="00202221">
        <w:rPr>
          <w:rFonts w:eastAsia="Times New Roman"/>
          <w:sz w:val="20"/>
          <w:szCs w:val="20"/>
          <w:lang w:val="es-ES"/>
        </w:rPr>
        <w:t xml:space="preserve">, los </w:t>
      </w:r>
      <w:r w:rsidR="002361A4">
        <w:rPr>
          <w:rFonts w:eastAsia="Times New Roman"/>
          <w:sz w:val="20"/>
          <w:szCs w:val="20"/>
          <w:lang w:val="es-ES"/>
        </w:rPr>
        <w:t>co</w:t>
      </w:r>
      <w:r w:rsidR="00E91352">
        <w:rPr>
          <w:rFonts w:eastAsia="Times New Roman"/>
          <w:sz w:val="20"/>
          <w:szCs w:val="20"/>
          <w:lang w:val="es-ES"/>
        </w:rPr>
        <w:t>lí</w:t>
      </w:r>
      <w:r w:rsidR="002361A4">
        <w:rPr>
          <w:rFonts w:eastAsia="Times New Roman"/>
          <w:sz w:val="20"/>
          <w:szCs w:val="20"/>
          <w:lang w:val="es-ES"/>
        </w:rPr>
        <w:t>deres</w:t>
      </w:r>
      <w:r w:rsidRPr="00202221">
        <w:rPr>
          <w:rFonts w:eastAsia="Times New Roman"/>
          <w:sz w:val="20"/>
          <w:szCs w:val="20"/>
          <w:lang w:val="es-ES"/>
        </w:rPr>
        <w:t xml:space="preserve"> rotarán para mantener el grupo activo. Los </w:t>
      </w:r>
      <w:r w:rsidR="002361A4">
        <w:rPr>
          <w:rFonts w:eastAsia="Times New Roman"/>
          <w:sz w:val="20"/>
          <w:szCs w:val="20"/>
          <w:lang w:val="es-ES"/>
        </w:rPr>
        <w:t>l</w:t>
      </w:r>
      <w:r w:rsidR="00E91352">
        <w:rPr>
          <w:rFonts w:eastAsia="Times New Roman"/>
          <w:sz w:val="20"/>
          <w:szCs w:val="20"/>
          <w:lang w:val="es-ES"/>
        </w:rPr>
        <w:t>í</w:t>
      </w:r>
      <w:r w:rsidR="002361A4">
        <w:rPr>
          <w:rFonts w:eastAsia="Times New Roman"/>
          <w:sz w:val="20"/>
          <w:szCs w:val="20"/>
          <w:lang w:val="es-ES"/>
        </w:rPr>
        <w:t>deres</w:t>
      </w:r>
      <w:r w:rsidRPr="00202221">
        <w:rPr>
          <w:rFonts w:eastAsia="Times New Roman"/>
          <w:sz w:val="20"/>
          <w:szCs w:val="20"/>
          <w:lang w:val="es-ES"/>
        </w:rPr>
        <w:t xml:space="preserve"> se eligen tras una entrevista con el CC</w:t>
      </w:r>
      <w:r w:rsidR="005B51BE">
        <w:rPr>
          <w:rFonts w:eastAsia="Times New Roman"/>
          <w:sz w:val="20"/>
          <w:szCs w:val="20"/>
          <w:lang w:val="es-ES"/>
        </w:rPr>
        <w:t>N</w:t>
      </w:r>
      <w:r w:rsidRPr="00202221">
        <w:rPr>
          <w:rFonts w:eastAsia="Times New Roman"/>
          <w:sz w:val="20"/>
          <w:szCs w:val="20"/>
          <w:lang w:val="es-ES"/>
        </w:rPr>
        <w:t xml:space="preserve"> en la que se </w:t>
      </w:r>
      <w:r w:rsidR="00925AAB" w:rsidRPr="00202221">
        <w:rPr>
          <w:rFonts w:eastAsia="Times New Roman"/>
          <w:sz w:val="20"/>
          <w:szCs w:val="20"/>
          <w:lang w:val="es-ES"/>
        </w:rPr>
        <w:t xml:space="preserve">evalúan los </w:t>
      </w:r>
      <w:r w:rsidRPr="00202221">
        <w:rPr>
          <w:rFonts w:eastAsia="Times New Roman"/>
          <w:sz w:val="20"/>
          <w:szCs w:val="20"/>
          <w:lang w:val="es-ES"/>
        </w:rPr>
        <w:t xml:space="preserve">conocimientos técnicos, la capacidad de liderazgo y el compromiso de tiempo </w:t>
      </w:r>
      <w:r w:rsidR="00925AAB" w:rsidRPr="00202221">
        <w:rPr>
          <w:rFonts w:eastAsia="Times New Roman"/>
          <w:sz w:val="20"/>
          <w:szCs w:val="20"/>
          <w:lang w:val="es-ES"/>
        </w:rPr>
        <w:t xml:space="preserve">con el GTT, o bien mediante un proceso de votación en el que participan todos los miembros del GTT. </w:t>
      </w:r>
      <w:r w:rsidRPr="00202221">
        <w:rPr>
          <w:rFonts w:eastAsia="Times New Roman"/>
          <w:sz w:val="20"/>
          <w:szCs w:val="20"/>
          <w:lang w:val="es-ES"/>
        </w:rPr>
        <w:t xml:space="preserve"> </w:t>
      </w:r>
    </w:p>
    <w:p w14:paraId="030C4444" w14:textId="6E84346B" w:rsidR="00992BD7" w:rsidRPr="00202221" w:rsidRDefault="00992BD7" w:rsidP="00992BD7">
      <w:pPr>
        <w:shd w:val="clear" w:color="auto" w:fill="FFFFFF"/>
        <w:spacing w:before="100" w:beforeAutospacing="1" w:after="225" w:line="240" w:lineRule="auto"/>
        <w:jc w:val="both"/>
        <w:rPr>
          <w:rFonts w:eastAsia="Times New Roman"/>
          <w:sz w:val="20"/>
          <w:szCs w:val="20"/>
          <w:lang w:val="es-ES"/>
        </w:rPr>
      </w:pPr>
      <w:r w:rsidRPr="000E4654">
        <w:rPr>
          <w:rFonts w:eastAsia="Times New Roman"/>
          <w:sz w:val="20"/>
          <w:szCs w:val="20"/>
          <w:lang w:val="es-ES"/>
        </w:rPr>
        <w:t xml:space="preserve">Se acordará un TdR con las tareas del </w:t>
      </w:r>
      <w:r w:rsidR="002361A4" w:rsidRPr="000E4654">
        <w:rPr>
          <w:rFonts w:eastAsia="Times New Roman"/>
          <w:sz w:val="20"/>
          <w:szCs w:val="20"/>
          <w:lang w:val="es-ES"/>
        </w:rPr>
        <w:t>l</w:t>
      </w:r>
      <w:r w:rsidR="00E91352" w:rsidRPr="000E4654">
        <w:rPr>
          <w:rFonts w:eastAsia="Times New Roman"/>
          <w:sz w:val="20"/>
          <w:szCs w:val="20"/>
          <w:lang w:val="es-ES"/>
        </w:rPr>
        <w:t>í</w:t>
      </w:r>
      <w:r w:rsidR="002361A4" w:rsidRPr="000E4654">
        <w:rPr>
          <w:rFonts w:eastAsia="Times New Roman"/>
          <w:sz w:val="20"/>
          <w:szCs w:val="20"/>
          <w:lang w:val="es-ES"/>
        </w:rPr>
        <w:t>der</w:t>
      </w:r>
      <w:r w:rsidR="00E2412D" w:rsidRPr="000E4654">
        <w:rPr>
          <w:rFonts w:eastAsia="Times New Roman"/>
          <w:sz w:val="20"/>
          <w:szCs w:val="20"/>
          <w:lang w:val="es-ES"/>
        </w:rPr>
        <w:t xml:space="preserve"> </w:t>
      </w:r>
      <w:r w:rsidRPr="000E4654">
        <w:rPr>
          <w:rFonts w:eastAsia="Times New Roman"/>
          <w:sz w:val="20"/>
          <w:szCs w:val="20"/>
          <w:lang w:val="es-ES"/>
        </w:rPr>
        <w:t xml:space="preserve">y se compartirá con el supervisor de la agencia </w:t>
      </w:r>
      <w:r w:rsidR="006418D2" w:rsidRPr="000E4654">
        <w:rPr>
          <w:rFonts w:eastAsia="Times New Roman"/>
          <w:sz w:val="20"/>
          <w:szCs w:val="20"/>
          <w:lang w:val="es-ES"/>
        </w:rPr>
        <w:t>lider</w:t>
      </w:r>
      <w:r w:rsidRPr="000E4654">
        <w:rPr>
          <w:rFonts w:eastAsia="Times New Roman"/>
          <w:sz w:val="20"/>
          <w:szCs w:val="20"/>
          <w:lang w:val="es-ES"/>
        </w:rPr>
        <w:t>.</w:t>
      </w:r>
      <w:r w:rsidRPr="00202221">
        <w:rPr>
          <w:rFonts w:eastAsia="Times New Roman"/>
          <w:sz w:val="20"/>
          <w:szCs w:val="20"/>
          <w:lang w:val="es-ES"/>
        </w:rPr>
        <w:t xml:space="preserve"> Los términos de referencia deben incluir la participación de los socios, la convocatoria de la reunión, el establecimiento del orden del día, la preparación o consolidación de los documentos que deben revisarse, la garantía de que se levanten actas en cada reunión, el seguimiento de los puntos de acción, el recordatorio de los resultados, y la </w:t>
      </w:r>
      <w:r w:rsidR="00E2412D" w:rsidRPr="00202221">
        <w:rPr>
          <w:rFonts w:eastAsia="Times New Roman"/>
          <w:sz w:val="20"/>
          <w:szCs w:val="20"/>
          <w:lang w:val="es-ES"/>
        </w:rPr>
        <w:t xml:space="preserve">participación en los resultados del GTT </w:t>
      </w:r>
      <w:r w:rsidR="001C2285" w:rsidRPr="00202221">
        <w:rPr>
          <w:rFonts w:eastAsia="Times New Roman"/>
          <w:sz w:val="20"/>
          <w:szCs w:val="20"/>
          <w:lang w:val="es-ES"/>
        </w:rPr>
        <w:t>sobre micronutrientes</w:t>
      </w:r>
      <w:r w:rsidRPr="00202221">
        <w:rPr>
          <w:rFonts w:eastAsia="Times New Roman"/>
          <w:sz w:val="20"/>
          <w:szCs w:val="20"/>
          <w:lang w:val="es-ES"/>
        </w:rPr>
        <w:t xml:space="preserve">. La función del </w:t>
      </w:r>
      <w:r w:rsidR="000E4654">
        <w:rPr>
          <w:rFonts w:eastAsia="Times New Roman"/>
          <w:sz w:val="20"/>
          <w:szCs w:val="20"/>
          <w:lang w:val="es-ES"/>
        </w:rPr>
        <w:t>líder</w:t>
      </w:r>
      <w:r w:rsidRPr="00202221">
        <w:rPr>
          <w:rFonts w:eastAsia="Times New Roman"/>
          <w:sz w:val="20"/>
          <w:szCs w:val="20"/>
          <w:lang w:val="es-ES"/>
        </w:rPr>
        <w:t xml:space="preserve"> es también garantizar la imparcialidad, identificar los retos y solicitar apoyo. El </w:t>
      </w:r>
      <w:r w:rsidR="000E4654">
        <w:rPr>
          <w:rFonts w:eastAsia="Times New Roman"/>
          <w:sz w:val="20"/>
          <w:szCs w:val="20"/>
          <w:lang w:val="es-ES"/>
        </w:rPr>
        <w:t>líder</w:t>
      </w:r>
      <w:r w:rsidR="00E2412D" w:rsidRPr="00202221">
        <w:rPr>
          <w:rFonts w:eastAsia="Times New Roman"/>
          <w:sz w:val="20"/>
          <w:szCs w:val="20"/>
          <w:lang w:val="es-ES"/>
        </w:rPr>
        <w:t xml:space="preserve"> </w:t>
      </w:r>
      <w:r w:rsidRPr="00202221">
        <w:rPr>
          <w:rFonts w:eastAsia="Times New Roman"/>
          <w:sz w:val="20"/>
          <w:szCs w:val="20"/>
          <w:lang w:val="es-ES"/>
        </w:rPr>
        <w:t xml:space="preserve">es responsable de informar al grupo de nutrición sobre </w:t>
      </w:r>
      <w:r w:rsidR="00E2412D" w:rsidRPr="00202221">
        <w:rPr>
          <w:rFonts w:eastAsia="Times New Roman"/>
          <w:sz w:val="20"/>
          <w:szCs w:val="20"/>
          <w:lang w:val="es-ES"/>
        </w:rPr>
        <w:t xml:space="preserve">una base acordada </w:t>
      </w:r>
      <w:r w:rsidRPr="00202221">
        <w:rPr>
          <w:rFonts w:eastAsia="Times New Roman"/>
          <w:sz w:val="20"/>
          <w:szCs w:val="20"/>
          <w:lang w:val="es-ES"/>
        </w:rPr>
        <w:t xml:space="preserve">y de presentar un informe de traspaso antes de dejar el grupo </w:t>
      </w:r>
      <w:r w:rsidR="00E2412D" w:rsidRPr="00202221">
        <w:rPr>
          <w:rFonts w:eastAsia="Times New Roman"/>
          <w:sz w:val="20"/>
          <w:szCs w:val="20"/>
          <w:lang w:val="es-ES"/>
        </w:rPr>
        <w:t>o el cargo</w:t>
      </w:r>
      <w:r w:rsidRPr="00202221">
        <w:rPr>
          <w:rFonts w:eastAsia="Times New Roman"/>
          <w:sz w:val="20"/>
          <w:szCs w:val="20"/>
          <w:lang w:val="es-ES"/>
        </w:rPr>
        <w:t xml:space="preserve">. </w:t>
      </w:r>
    </w:p>
    <w:p w14:paraId="08A38A65" w14:textId="77777777" w:rsidR="00992BD7" w:rsidRPr="00202221" w:rsidRDefault="00992BD7" w:rsidP="00992BD7">
      <w:pPr>
        <w:shd w:val="clear" w:color="auto" w:fill="FFFFFF"/>
        <w:spacing w:before="100" w:beforeAutospacing="1" w:after="225" w:line="240" w:lineRule="auto"/>
        <w:jc w:val="both"/>
        <w:rPr>
          <w:rFonts w:eastAsia="Times New Roman"/>
          <w:sz w:val="20"/>
          <w:szCs w:val="20"/>
          <w:lang w:val="es-ES"/>
        </w:rPr>
      </w:pPr>
      <w:r w:rsidRPr="00202221">
        <w:rPr>
          <w:rFonts w:eastAsia="Times New Roman"/>
          <w:sz w:val="20"/>
          <w:szCs w:val="20"/>
          <w:lang w:val="es-ES"/>
        </w:rPr>
        <w:t xml:space="preserve">Cada seis meses debería realizarse una evaluación del trabajo de los líderes, que podría incluir, entre otras cosas, una encuesta en línea enviada a los miembros del GTT sobre los resultados y la gobernanza del grupo. </w:t>
      </w:r>
    </w:p>
    <w:p w14:paraId="655D1E13" w14:textId="1DD60F71" w:rsidR="00A57B72" w:rsidRPr="00202221" w:rsidRDefault="00A57B72" w:rsidP="00A57B72">
      <w:pPr>
        <w:rPr>
          <w:b/>
          <w:sz w:val="20"/>
          <w:szCs w:val="20"/>
          <w:lang w:val="es-ES"/>
        </w:rPr>
      </w:pPr>
      <w:r w:rsidRPr="00202221">
        <w:rPr>
          <w:b/>
          <w:sz w:val="20"/>
          <w:szCs w:val="20"/>
          <w:lang w:val="es-ES"/>
        </w:rPr>
        <w:t>RE</w:t>
      </w:r>
      <w:r w:rsidR="00E91352">
        <w:rPr>
          <w:b/>
          <w:sz w:val="20"/>
          <w:szCs w:val="20"/>
          <w:lang w:val="es-ES"/>
        </w:rPr>
        <w:t>NDICIÓN DE CUENTAS</w:t>
      </w:r>
    </w:p>
    <w:p w14:paraId="757FF9CD" w14:textId="39204390" w:rsidR="001D03AB" w:rsidRDefault="001C4996" w:rsidP="001C4996">
      <w:pPr>
        <w:autoSpaceDE w:val="0"/>
        <w:autoSpaceDN w:val="0"/>
        <w:adjustRightInd w:val="0"/>
        <w:spacing w:after="0" w:line="240" w:lineRule="auto"/>
        <w:rPr>
          <w:sz w:val="20"/>
          <w:szCs w:val="20"/>
          <w:lang w:val="es-ES"/>
        </w:rPr>
      </w:pPr>
      <w:r w:rsidRPr="00202221">
        <w:rPr>
          <w:sz w:val="20"/>
          <w:szCs w:val="20"/>
          <w:lang w:val="es-ES"/>
        </w:rPr>
        <w:t>L</w:t>
      </w:r>
      <w:r w:rsidR="00E91352">
        <w:rPr>
          <w:sz w:val="20"/>
          <w:szCs w:val="20"/>
          <w:lang w:val="es-ES"/>
        </w:rPr>
        <w:t>as organizaciones colíderes del</w:t>
      </w:r>
      <w:r w:rsidRPr="00202221">
        <w:rPr>
          <w:sz w:val="20"/>
          <w:szCs w:val="20"/>
          <w:lang w:val="es-ES"/>
        </w:rPr>
        <w:t xml:space="preserve"> GTT deberán asegurarse de que el grupo desarrolle un plan de trabajo renovable de </w:t>
      </w:r>
      <w:r w:rsidR="00F57855" w:rsidRPr="00202221">
        <w:rPr>
          <w:sz w:val="20"/>
          <w:szCs w:val="20"/>
          <w:lang w:val="es-ES"/>
        </w:rPr>
        <w:t xml:space="preserve">un </w:t>
      </w:r>
      <w:r w:rsidR="00C01BC9" w:rsidRPr="00202221">
        <w:rPr>
          <w:sz w:val="20"/>
          <w:szCs w:val="20"/>
          <w:lang w:val="es-ES"/>
        </w:rPr>
        <w:t xml:space="preserve">año de duración </w:t>
      </w:r>
      <w:r w:rsidR="00F57855" w:rsidRPr="00202221">
        <w:rPr>
          <w:sz w:val="20"/>
          <w:szCs w:val="20"/>
          <w:lang w:val="es-ES"/>
        </w:rPr>
        <w:t>en línea con el</w:t>
      </w:r>
      <w:r w:rsidR="001D03AB">
        <w:rPr>
          <w:sz w:val="20"/>
          <w:szCs w:val="20"/>
          <w:lang w:val="es-ES"/>
        </w:rPr>
        <w:t xml:space="preserve"> Plan de Respuesta Humanitaria (HRP por sus siglas en inglés)</w:t>
      </w:r>
      <w:r w:rsidR="00136D30" w:rsidRPr="00202221">
        <w:rPr>
          <w:sz w:val="20"/>
          <w:szCs w:val="20"/>
          <w:lang w:val="es-ES"/>
        </w:rPr>
        <w:t>. El plan de trabajo deberá compartirse con los socios</w:t>
      </w:r>
      <w:r w:rsidR="001D03AB">
        <w:rPr>
          <w:sz w:val="20"/>
          <w:szCs w:val="20"/>
          <w:lang w:val="es-ES"/>
        </w:rPr>
        <w:t xml:space="preserve">/miembros y los </w:t>
      </w:r>
      <w:r w:rsidR="006A1C11">
        <w:rPr>
          <w:sz w:val="20"/>
          <w:szCs w:val="20"/>
          <w:lang w:val="es-ES"/>
        </w:rPr>
        <w:t>co</w:t>
      </w:r>
      <w:r w:rsidR="001D03AB">
        <w:rPr>
          <w:sz w:val="20"/>
          <w:szCs w:val="20"/>
          <w:lang w:val="es-ES"/>
        </w:rPr>
        <w:t xml:space="preserve">líderes </w:t>
      </w:r>
      <w:r w:rsidR="006A1C11">
        <w:rPr>
          <w:sz w:val="20"/>
          <w:szCs w:val="20"/>
          <w:lang w:val="es-ES"/>
        </w:rPr>
        <w:t xml:space="preserve">deberán </w:t>
      </w:r>
      <w:r w:rsidRPr="00202221">
        <w:rPr>
          <w:sz w:val="20"/>
          <w:szCs w:val="20"/>
          <w:lang w:val="es-ES"/>
        </w:rPr>
        <w:t xml:space="preserve">informar sobre el progreso a los socios del clúster de nutrición mensualmente </w:t>
      </w:r>
      <w:r w:rsidR="00C01BC9" w:rsidRPr="00202221">
        <w:rPr>
          <w:sz w:val="20"/>
          <w:szCs w:val="20"/>
          <w:lang w:val="es-ES"/>
        </w:rPr>
        <w:t xml:space="preserve">o según </w:t>
      </w:r>
      <w:r w:rsidR="001D03AB">
        <w:rPr>
          <w:sz w:val="20"/>
          <w:szCs w:val="20"/>
          <w:lang w:val="es-ES"/>
        </w:rPr>
        <w:t>lo acordado.</w:t>
      </w:r>
    </w:p>
    <w:p w14:paraId="4057AD59" w14:textId="1AFD0108" w:rsidR="001C4996" w:rsidRPr="00202221" w:rsidRDefault="00690D32" w:rsidP="001C4996">
      <w:pPr>
        <w:autoSpaceDE w:val="0"/>
        <w:autoSpaceDN w:val="0"/>
        <w:adjustRightInd w:val="0"/>
        <w:spacing w:after="0" w:line="240" w:lineRule="auto"/>
        <w:rPr>
          <w:sz w:val="20"/>
          <w:szCs w:val="20"/>
          <w:lang w:val="es-ES"/>
        </w:rPr>
      </w:pPr>
      <w:r w:rsidRPr="00202221">
        <w:rPr>
          <w:sz w:val="20"/>
          <w:szCs w:val="20"/>
          <w:lang w:val="es-ES"/>
        </w:rPr>
        <w:t xml:space="preserve">Cada seis meses se </w:t>
      </w:r>
      <w:r w:rsidR="001C4996" w:rsidRPr="00202221">
        <w:rPr>
          <w:sz w:val="20"/>
          <w:szCs w:val="20"/>
          <w:lang w:val="es-ES"/>
        </w:rPr>
        <w:t xml:space="preserve">realizará una autoevaluación del trabajo del grupo en relación con los objetivos establecidos </w:t>
      </w:r>
      <w:r w:rsidR="006D149A" w:rsidRPr="00202221">
        <w:rPr>
          <w:sz w:val="20"/>
          <w:szCs w:val="20"/>
          <w:lang w:val="es-ES"/>
        </w:rPr>
        <w:t>en el plan</w:t>
      </w:r>
      <w:r w:rsidR="001C4996" w:rsidRPr="00202221">
        <w:rPr>
          <w:sz w:val="20"/>
          <w:szCs w:val="20"/>
          <w:lang w:val="es-ES"/>
        </w:rPr>
        <w:t xml:space="preserve">, y los </w:t>
      </w:r>
      <w:r w:rsidR="006D149A" w:rsidRPr="00202221">
        <w:rPr>
          <w:sz w:val="20"/>
          <w:szCs w:val="20"/>
          <w:lang w:val="es-ES"/>
        </w:rPr>
        <w:t xml:space="preserve">resultados y el plan de acción para las mejoras se coordinarán con los </w:t>
      </w:r>
      <w:r w:rsidR="001D03AB">
        <w:rPr>
          <w:sz w:val="20"/>
          <w:szCs w:val="20"/>
          <w:lang w:val="es-ES"/>
        </w:rPr>
        <w:t>miembros</w:t>
      </w:r>
      <w:r w:rsidR="006D149A" w:rsidRPr="00202221">
        <w:rPr>
          <w:sz w:val="20"/>
          <w:szCs w:val="20"/>
          <w:lang w:val="es-ES"/>
        </w:rPr>
        <w:t xml:space="preserve"> del grupo de </w:t>
      </w:r>
      <w:r w:rsidR="0064598F" w:rsidRPr="00202221">
        <w:rPr>
          <w:sz w:val="20"/>
          <w:szCs w:val="20"/>
          <w:lang w:val="es-ES"/>
        </w:rPr>
        <w:t>nutrición</w:t>
      </w:r>
      <w:r w:rsidR="001C4996" w:rsidRPr="00202221">
        <w:rPr>
          <w:sz w:val="20"/>
          <w:szCs w:val="20"/>
          <w:lang w:val="es-ES"/>
        </w:rPr>
        <w:t xml:space="preserve">. </w:t>
      </w:r>
    </w:p>
    <w:p w14:paraId="17018FB8" w14:textId="77777777" w:rsidR="00B078C3" w:rsidRPr="00202221" w:rsidRDefault="00B078C3" w:rsidP="00B078C3">
      <w:pPr>
        <w:pStyle w:val="Sinespaciado"/>
        <w:rPr>
          <w:sz w:val="20"/>
          <w:szCs w:val="20"/>
          <w:lang w:val="es-ES"/>
        </w:rPr>
      </w:pPr>
    </w:p>
    <w:p w14:paraId="1E9B9716" w14:textId="35D3BFBC" w:rsidR="00B078C3" w:rsidRPr="00202221" w:rsidRDefault="00121FA4" w:rsidP="00B078C3">
      <w:pPr>
        <w:pStyle w:val="Sinespaciado"/>
        <w:rPr>
          <w:sz w:val="20"/>
          <w:szCs w:val="20"/>
          <w:lang w:val="es-ES"/>
        </w:rPr>
      </w:pPr>
      <w:r w:rsidRPr="00202221">
        <w:rPr>
          <w:sz w:val="20"/>
          <w:szCs w:val="20"/>
          <w:lang w:val="es-ES"/>
        </w:rPr>
        <w:t xml:space="preserve">El GTT de </w:t>
      </w:r>
      <w:r w:rsidR="001C2285" w:rsidRPr="00202221">
        <w:rPr>
          <w:sz w:val="20"/>
          <w:szCs w:val="20"/>
          <w:lang w:val="es-ES"/>
        </w:rPr>
        <w:t xml:space="preserve">Micronutrientes </w:t>
      </w:r>
      <w:r w:rsidR="00B078C3" w:rsidRPr="00202221">
        <w:rPr>
          <w:sz w:val="20"/>
          <w:szCs w:val="20"/>
          <w:lang w:val="es-ES"/>
        </w:rPr>
        <w:t xml:space="preserve">es responsable </w:t>
      </w:r>
      <w:r w:rsidRPr="00202221">
        <w:rPr>
          <w:sz w:val="20"/>
          <w:szCs w:val="20"/>
          <w:lang w:val="es-ES"/>
        </w:rPr>
        <w:t xml:space="preserve">ante los socios del clúster. El GTT de </w:t>
      </w:r>
      <w:r w:rsidR="001C2285" w:rsidRPr="00202221">
        <w:rPr>
          <w:sz w:val="20"/>
          <w:szCs w:val="20"/>
          <w:lang w:val="es-ES"/>
        </w:rPr>
        <w:t xml:space="preserve">Micronutrientes </w:t>
      </w:r>
      <w:r w:rsidR="006A1C11">
        <w:rPr>
          <w:sz w:val="20"/>
          <w:szCs w:val="20"/>
          <w:lang w:val="es-ES"/>
        </w:rPr>
        <w:t>comunicará</w:t>
      </w:r>
      <w:r w:rsidR="00B078C3" w:rsidRPr="00202221">
        <w:rPr>
          <w:sz w:val="20"/>
          <w:szCs w:val="20"/>
          <w:lang w:val="es-ES"/>
        </w:rPr>
        <w:t xml:space="preserve"> las decisiones/aprobaciones con los socios del clúster periódicamente a través del coordinador del clúster y/o los co</w:t>
      </w:r>
      <w:r w:rsidR="001D03AB">
        <w:rPr>
          <w:sz w:val="20"/>
          <w:szCs w:val="20"/>
          <w:lang w:val="es-ES"/>
        </w:rPr>
        <w:t>líderes.</w:t>
      </w:r>
      <w:r w:rsidR="00B078C3" w:rsidRPr="00202221">
        <w:rPr>
          <w:sz w:val="20"/>
          <w:szCs w:val="20"/>
          <w:lang w:val="es-ES"/>
        </w:rPr>
        <w:t xml:space="preserve"> </w:t>
      </w:r>
    </w:p>
    <w:p w14:paraId="7EA1FF21" w14:textId="77777777" w:rsidR="001C4996" w:rsidRPr="00202221" w:rsidRDefault="001C4996" w:rsidP="001C4996">
      <w:pPr>
        <w:autoSpaceDE w:val="0"/>
        <w:autoSpaceDN w:val="0"/>
        <w:adjustRightInd w:val="0"/>
        <w:spacing w:after="0" w:line="240" w:lineRule="auto"/>
        <w:rPr>
          <w:sz w:val="20"/>
          <w:szCs w:val="20"/>
          <w:lang w:val="es-ES"/>
        </w:rPr>
      </w:pPr>
    </w:p>
    <w:p w14:paraId="27C57FFD" w14:textId="77777777" w:rsidR="00A57B72" w:rsidRPr="00202221" w:rsidRDefault="00A57B72" w:rsidP="00A57B72">
      <w:pPr>
        <w:rPr>
          <w:b/>
          <w:sz w:val="20"/>
          <w:szCs w:val="20"/>
          <w:lang w:val="es-ES"/>
        </w:rPr>
      </w:pPr>
      <w:r w:rsidRPr="00202221">
        <w:rPr>
          <w:b/>
          <w:sz w:val="20"/>
          <w:szCs w:val="20"/>
          <w:lang w:val="es-ES"/>
        </w:rPr>
        <w:t xml:space="preserve">MÉTODOS DE TRABAJO </w:t>
      </w:r>
    </w:p>
    <w:p w14:paraId="5ECBCF12" w14:textId="41B52283" w:rsidR="00A57B72" w:rsidRPr="00202221" w:rsidRDefault="00136D30" w:rsidP="00136D30">
      <w:pPr>
        <w:shd w:val="clear" w:color="auto" w:fill="FFFFFF"/>
        <w:spacing w:before="100" w:beforeAutospacing="1" w:after="225" w:line="240" w:lineRule="auto"/>
        <w:rPr>
          <w:sz w:val="20"/>
          <w:szCs w:val="20"/>
          <w:lang w:val="es-ES"/>
        </w:rPr>
      </w:pPr>
      <w:r w:rsidRPr="00202221">
        <w:rPr>
          <w:sz w:val="20"/>
          <w:szCs w:val="20"/>
          <w:lang w:val="es-ES"/>
        </w:rPr>
        <w:t xml:space="preserve">Las </w:t>
      </w:r>
      <w:r w:rsidR="00A57B72" w:rsidRPr="00202221">
        <w:rPr>
          <w:sz w:val="20"/>
          <w:szCs w:val="20"/>
          <w:lang w:val="es-ES"/>
        </w:rPr>
        <w:t xml:space="preserve">decisiones se tomarán por consenso general. </w:t>
      </w:r>
      <w:r w:rsidRPr="00202221">
        <w:rPr>
          <w:sz w:val="20"/>
          <w:szCs w:val="20"/>
          <w:lang w:val="es-ES"/>
        </w:rPr>
        <w:t xml:space="preserve">En caso de que no se pueda alcanzar un consenso, los líderes de los GTT tendrán que buscar el apoyo del </w:t>
      </w:r>
      <w:r w:rsidR="00A441C6" w:rsidRPr="00202221">
        <w:rPr>
          <w:sz w:val="20"/>
          <w:szCs w:val="20"/>
          <w:lang w:val="es-ES"/>
        </w:rPr>
        <w:t>C</w:t>
      </w:r>
      <w:r w:rsidR="00605E0C">
        <w:rPr>
          <w:sz w:val="20"/>
          <w:szCs w:val="20"/>
          <w:lang w:val="es-ES"/>
        </w:rPr>
        <w:t>CN</w:t>
      </w:r>
      <w:r w:rsidR="00A441C6" w:rsidRPr="00202221">
        <w:rPr>
          <w:sz w:val="20"/>
          <w:szCs w:val="20"/>
          <w:lang w:val="es-ES"/>
        </w:rPr>
        <w:t xml:space="preserve"> </w:t>
      </w:r>
      <w:r w:rsidR="006D149A" w:rsidRPr="00202221">
        <w:rPr>
          <w:sz w:val="20"/>
          <w:szCs w:val="20"/>
          <w:lang w:val="es-ES"/>
        </w:rPr>
        <w:t xml:space="preserve">sobre el camino a seguir, </w:t>
      </w:r>
      <w:r w:rsidR="00444659" w:rsidRPr="00202221">
        <w:rPr>
          <w:sz w:val="20"/>
          <w:szCs w:val="20"/>
          <w:lang w:val="es-ES"/>
        </w:rPr>
        <w:t>o</w:t>
      </w:r>
      <w:r w:rsidR="006D149A" w:rsidRPr="00202221">
        <w:rPr>
          <w:sz w:val="20"/>
          <w:szCs w:val="20"/>
          <w:lang w:val="es-ES"/>
        </w:rPr>
        <w:t xml:space="preserve"> consulta</w:t>
      </w:r>
      <w:r w:rsidR="00605E0C">
        <w:rPr>
          <w:sz w:val="20"/>
          <w:szCs w:val="20"/>
          <w:lang w:val="es-ES"/>
        </w:rPr>
        <w:t>r</w:t>
      </w:r>
      <w:r w:rsidR="006D149A" w:rsidRPr="00202221">
        <w:rPr>
          <w:sz w:val="20"/>
          <w:szCs w:val="20"/>
          <w:lang w:val="es-ES"/>
        </w:rPr>
        <w:t xml:space="preserve"> con el </w:t>
      </w:r>
      <w:r w:rsidR="00121FA4" w:rsidRPr="00202221">
        <w:rPr>
          <w:sz w:val="20"/>
          <w:szCs w:val="20"/>
          <w:lang w:val="es-ES"/>
        </w:rPr>
        <w:t>Grupo de Asesoramiento Estratégico (</w:t>
      </w:r>
      <w:r w:rsidR="00605E0C">
        <w:rPr>
          <w:sz w:val="20"/>
          <w:szCs w:val="20"/>
          <w:lang w:val="es-ES"/>
        </w:rPr>
        <w:t>SAG por sus siglas en inglés</w:t>
      </w:r>
      <w:r w:rsidR="00121FA4" w:rsidRPr="00202221">
        <w:rPr>
          <w:sz w:val="20"/>
          <w:szCs w:val="20"/>
          <w:lang w:val="es-ES"/>
        </w:rPr>
        <w:t xml:space="preserve">) </w:t>
      </w:r>
      <w:r w:rsidR="006D149A" w:rsidRPr="00202221">
        <w:rPr>
          <w:sz w:val="20"/>
          <w:szCs w:val="20"/>
          <w:lang w:val="es-ES"/>
        </w:rPr>
        <w:t xml:space="preserve">o </w:t>
      </w:r>
      <w:r w:rsidR="00605E0C">
        <w:rPr>
          <w:sz w:val="20"/>
          <w:szCs w:val="20"/>
          <w:lang w:val="es-ES"/>
        </w:rPr>
        <w:t>a consorcios</w:t>
      </w:r>
      <w:r w:rsidR="006D149A" w:rsidRPr="00202221">
        <w:rPr>
          <w:sz w:val="20"/>
          <w:szCs w:val="20"/>
          <w:lang w:val="es-ES"/>
        </w:rPr>
        <w:t xml:space="preserve"> más </w:t>
      </w:r>
      <w:r w:rsidR="00605E0C">
        <w:rPr>
          <w:sz w:val="20"/>
          <w:szCs w:val="20"/>
          <w:lang w:val="es-ES"/>
        </w:rPr>
        <w:t>allá</w:t>
      </w:r>
      <w:r w:rsidR="006D149A" w:rsidRPr="00202221">
        <w:rPr>
          <w:sz w:val="20"/>
          <w:szCs w:val="20"/>
          <w:lang w:val="es-ES"/>
        </w:rPr>
        <w:t xml:space="preserve"> del clúster</w:t>
      </w:r>
      <w:r w:rsidRPr="00202221">
        <w:rPr>
          <w:sz w:val="20"/>
          <w:szCs w:val="20"/>
          <w:lang w:val="es-ES"/>
        </w:rPr>
        <w:t xml:space="preserve">.  </w:t>
      </w:r>
      <w:r w:rsidR="00A441C6" w:rsidRPr="00202221">
        <w:rPr>
          <w:sz w:val="20"/>
          <w:szCs w:val="20"/>
          <w:lang w:val="es-ES"/>
        </w:rPr>
        <w:t>Si la cuestión técnica no se resuelve en el país, el CC</w:t>
      </w:r>
      <w:r w:rsidR="00605E0C">
        <w:rPr>
          <w:sz w:val="20"/>
          <w:szCs w:val="20"/>
          <w:lang w:val="es-ES"/>
        </w:rPr>
        <w:t>N</w:t>
      </w:r>
      <w:r w:rsidR="00A441C6" w:rsidRPr="00202221">
        <w:rPr>
          <w:sz w:val="20"/>
          <w:szCs w:val="20"/>
          <w:lang w:val="es-ES"/>
        </w:rPr>
        <w:t xml:space="preserve"> puede solicitar orientación al </w:t>
      </w:r>
      <w:r w:rsidR="00605E0C">
        <w:rPr>
          <w:sz w:val="20"/>
          <w:szCs w:val="20"/>
          <w:lang w:val="es-ES"/>
        </w:rPr>
        <w:t>Grupo de Coordinación del GNC (“</w:t>
      </w:r>
      <w:r w:rsidR="00A441C6" w:rsidRPr="00202221">
        <w:rPr>
          <w:sz w:val="20"/>
          <w:szCs w:val="20"/>
          <w:lang w:val="es-ES"/>
        </w:rPr>
        <w:t>GNC-CT</w:t>
      </w:r>
      <w:r w:rsidR="00605E0C">
        <w:rPr>
          <w:sz w:val="20"/>
          <w:szCs w:val="20"/>
          <w:lang w:val="es-ES"/>
        </w:rPr>
        <w:t xml:space="preserve"> Global Nutrition Cluster -Coordination Team</w:t>
      </w:r>
      <w:r w:rsidR="004E7A7D">
        <w:rPr>
          <w:sz w:val="20"/>
          <w:szCs w:val="20"/>
          <w:lang w:val="es-ES"/>
        </w:rPr>
        <w:t>”</w:t>
      </w:r>
      <w:r w:rsidR="00605E0C">
        <w:rPr>
          <w:sz w:val="20"/>
          <w:szCs w:val="20"/>
          <w:lang w:val="es-ES"/>
        </w:rPr>
        <w:t>)</w:t>
      </w:r>
      <w:r w:rsidR="00A441C6" w:rsidRPr="00202221">
        <w:rPr>
          <w:sz w:val="20"/>
          <w:szCs w:val="20"/>
          <w:lang w:val="es-ES"/>
        </w:rPr>
        <w:t xml:space="preserve"> en nombre </w:t>
      </w:r>
      <w:r w:rsidR="006D149A" w:rsidRPr="00202221">
        <w:rPr>
          <w:sz w:val="20"/>
          <w:szCs w:val="20"/>
          <w:lang w:val="es-ES"/>
        </w:rPr>
        <w:t xml:space="preserve">de los </w:t>
      </w:r>
      <w:r w:rsidR="00FE0294" w:rsidRPr="00202221">
        <w:rPr>
          <w:sz w:val="20"/>
          <w:szCs w:val="20"/>
          <w:lang w:val="es-ES"/>
        </w:rPr>
        <w:t>socios del clúster</w:t>
      </w:r>
      <w:r w:rsidR="00A441C6" w:rsidRPr="00202221">
        <w:rPr>
          <w:sz w:val="20"/>
          <w:szCs w:val="20"/>
          <w:lang w:val="es-ES"/>
        </w:rPr>
        <w:t xml:space="preserve">. </w:t>
      </w:r>
    </w:p>
    <w:p w14:paraId="15993FB6" w14:textId="77777777" w:rsidR="006D6400" w:rsidRDefault="006D6400" w:rsidP="00A57B72">
      <w:pPr>
        <w:rPr>
          <w:b/>
          <w:sz w:val="20"/>
          <w:szCs w:val="20"/>
          <w:lang w:val="es-ES"/>
        </w:rPr>
      </w:pPr>
    </w:p>
    <w:p w14:paraId="0254BACF" w14:textId="77777777" w:rsidR="006D6400" w:rsidRDefault="006D6400" w:rsidP="00A57B72">
      <w:pPr>
        <w:rPr>
          <w:b/>
          <w:sz w:val="20"/>
          <w:szCs w:val="20"/>
          <w:lang w:val="es-ES"/>
        </w:rPr>
      </w:pPr>
    </w:p>
    <w:p w14:paraId="1CF1BA64" w14:textId="77777777" w:rsidR="006D6400" w:rsidRDefault="006D6400" w:rsidP="00A57B72">
      <w:pPr>
        <w:rPr>
          <w:b/>
          <w:sz w:val="20"/>
          <w:szCs w:val="20"/>
          <w:lang w:val="es-ES"/>
        </w:rPr>
      </w:pPr>
    </w:p>
    <w:p w14:paraId="4BD3CE4A" w14:textId="078F3BB1" w:rsidR="00A57B72" w:rsidRPr="00202221" w:rsidRDefault="00A57B72" w:rsidP="00A57B72">
      <w:pPr>
        <w:rPr>
          <w:b/>
          <w:sz w:val="20"/>
          <w:szCs w:val="20"/>
          <w:lang w:val="es-ES"/>
        </w:rPr>
      </w:pPr>
      <w:r w:rsidRPr="00202221">
        <w:rPr>
          <w:b/>
          <w:sz w:val="20"/>
          <w:szCs w:val="20"/>
          <w:lang w:val="es-ES"/>
        </w:rPr>
        <w:t xml:space="preserve">REUNIONES </w:t>
      </w:r>
    </w:p>
    <w:p w14:paraId="179DC42D" w14:textId="36D85089" w:rsidR="00136D30" w:rsidRPr="00202221" w:rsidRDefault="00783F72" w:rsidP="00136D30">
      <w:pPr>
        <w:shd w:val="clear" w:color="auto" w:fill="FFFFFF"/>
        <w:spacing w:before="100" w:beforeAutospacing="1" w:after="225" w:line="240" w:lineRule="auto"/>
        <w:rPr>
          <w:rFonts w:eastAsia="Times New Roman"/>
          <w:i/>
          <w:color w:val="92D050"/>
          <w:sz w:val="20"/>
          <w:szCs w:val="20"/>
          <w:lang w:val="es-ES"/>
        </w:rPr>
      </w:pPr>
      <w:r w:rsidRPr="00202221">
        <w:rPr>
          <w:rFonts w:eastAsia="Times New Roman"/>
          <w:i/>
          <w:color w:val="92D050"/>
          <w:sz w:val="20"/>
          <w:szCs w:val="20"/>
          <w:lang w:val="es-ES"/>
        </w:rPr>
        <w:t xml:space="preserve">El </w:t>
      </w:r>
      <w:r w:rsidR="00136D30" w:rsidRPr="00202221">
        <w:rPr>
          <w:rFonts w:eastAsia="Times New Roman"/>
          <w:i/>
          <w:color w:val="92D050"/>
          <w:sz w:val="20"/>
          <w:szCs w:val="20"/>
          <w:lang w:val="es-ES"/>
        </w:rPr>
        <w:t xml:space="preserve">texto siguiente es adaptable y trata de responder a las siguientes preguntas: ¿Cuántas reuniones se celebrarán cada año y dónde se celebrarán? ¿Quién </w:t>
      </w:r>
      <w:r w:rsidR="005A10CE" w:rsidRPr="00202221">
        <w:rPr>
          <w:rFonts w:eastAsia="Times New Roman"/>
          <w:i/>
          <w:color w:val="92D050"/>
          <w:sz w:val="20"/>
          <w:szCs w:val="20"/>
          <w:lang w:val="es-ES"/>
        </w:rPr>
        <w:t xml:space="preserve">organizará </w:t>
      </w:r>
      <w:r w:rsidR="00136D30" w:rsidRPr="00202221">
        <w:rPr>
          <w:rFonts w:eastAsia="Times New Roman"/>
          <w:i/>
          <w:color w:val="92D050"/>
          <w:sz w:val="20"/>
          <w:szCs w:val="20"/>
          <w:lang w:val="es-ES"/>
        </w:rPr>
        <w:t>y presidirá las reuniones? ¿Cómo se generarán los temas del orden del día? ¿Cómo y cuándo se distribuirán los documentos de las reuniones? ¿Quién se encargará de la secretaría del grupo?]</w:t>
      </w:r>
    </w:p>
    <w:p w14:paraId="1A7BBD47" w14:textId="390E43D5" w:rsidR="00136D30" w:rsidRPr="00202221" w:rsidRDefault="00136D30" w:rsidP="005A10CE">
      <w:pPr>
        <w:shd w:val="clear" w:color="auto" w:fill="FFFFFF"/>
        <w:spacing w:before="100" w:beforeAutospacing="1" w:after="225" w:line="240" w:lineRule="auto"/>
        <w:rPr>
          <w:rFonts w:eastAsia="Times New Roman" w:cs="Arial"/>
          <w:sz w:val="20"/>
          <w:szCs w:val="20"/>
          <w:lang w:val="es-ES"/>
        </w:rPr>
      </w:pPr>
      <w:r w:rsidRPr="00202221">
        <w:rPr>
          <w:rFonts w:eastAsia="Times New Roman" w:cs="Arial"/>
          <w:sz w:val="20"/>
          <w:szCs w:val="20"/>
          <w:lang w:val="es-ES"/>
        </w:rPr>
        <w:t xml:space="preserve">Las reuniones se celebran en </w:t>
      </w:r>
      <w:r w:rsidRPr="00202221">
        <w:rPr>
          <w:rFonts w:eastAsia="Times New Roman" w:cs="Arial"/>
          <w:b/>
          <w:sz w:val="20"/>
          <w:szCs w:val="20"/>
          <w:lang w:val="es-ES"/>
        </w:rPr>
        <w:t xml:space="preserve">[insértese el lugar] con una </w:t>
      </w:r>
      <w:r w:rsidRPr="00202221">
        <w:rPr>
          <w:rFonts w:eastAsia="Times New Roman" w:cs="Arial"/>
          <w:sz w:val="20"/>
          <w:szCs w:val="20"/>
          <w:lang w:val="es-ES"/>
        </w:rPr>
        <w:t xml:space="preserve">periodicidad quincenal/mensual, cada dos </w:t>
      </w:r>
      <w:r w:rsidRPr="00202221">
        <w:rPr>
          <w:rFonts w:eastAsia="Times New Roman" w:cs="Arial"/>
          <w:b/>
          <w:sz w:val="20"/>
          <w:szCs w:val="20"/>
          <w:lang w:val="es-ES"/>
        </w:rPr>
        <w:t xml:space="preserve">[insértese el </w:t>
      </w:r>
      <w:r w:rsidR="00783F72" w:rsidRPr="00202221">
        <w:rPr>
          <w:rFonts w:eastAsia="Times New Roman" w:cs="Arial"/>
          <w:b/>
          <w:sz w:val="20"/>
          <w:szCs w:val="20"/>
          <w:lang w:val="es-ES"/>
        </w:rPr>
        <w:t>día de la semana</w:t>
      </w:r>
      <w:r w:rsidRPr="00202221">
        <w:rPr>
          <w:rFonts w:eastAsia="Times New Roman" w:cs="Arial"/>
          <w:b/>
          <w:sz w:val="20"/>
          <w:szCs w:val="20"/>
          <w:lang w:val="es-ES"/>
        </w:rPr>
        <w:t>]</w:t>
      </w:r>
      <w:r w:rsidRPr="00202221">
        <w:rPr>
          <w:rFonts w:eastAsia="Times New Roman" w:cs="Arial"/>
          <w:sz w:val="20"/>
          <w:szCs w:val="20"/>
          <w:lang w:val="es-ES"/>
        </w:rPr>
        <w:t xml:space="preserve">. El </w:t>
      </w:r>
      <w:r w:rsidR="00307295">
        <w:rPr>
          <w:rFonts w:eastAsia="Times New Roman" w:cs="Arial"/>
          <w:sz w:val="20"/>
          <w:szCs w:val="20"/>
          <w:lang w:val="es-ES"/>
        </w:rPr>
        <w:t>líder</w:t>
      </w:r>
      <w:r w:rsidR="00D4143E" w:rsidRPr="00202221">
        <w:rPr>
          <w:rFonts w:eastAsia="Times New Roman" w:cs="Arial"/>
          <w:sz w:val="20"/>
          <w:szCs w:val="20"/>
          <w:lang w:val="es-ES"/>
        </w:rPr>
        <w:t xml:space="preserve"> </w:t>
      </w:r>
      <w:r w:rsidR="00AA4685" w:rsidRPr="00202221">
        <w:rPr>
          <w:rFonts w:eastAsia="Times New Roman" w:cs="Arial"/>
          <w:sz w:val="20"/>
          <w:szCs w:val="20"/>
          <w:lang w:val="es-ES"/>
        </w:rPr>
        <w:t xml:space="preserve">del GTT enviará la invitación y el orden del día de la reunión a todos los miembros del GTT al menos 48 horas antes de la fecha de la reunión. </w:t>
      </w:r>
      <w:r w:rsidR="005A10CE" w:rsidRPr="00202221">
        <w:rPr>
          <w:rFonts w:eastAsia="Times New Roman" w:cs="Arial"/>
          <w:sz w:val="20"/>
          <w:szCs w:val="20"/>
          <w:lang w:val="es-ES"/>
        </w:rPr>
        <w:t>Los temas del orden del día deberán generarse a partir de los resultados de la reunión anterior, los resultados del plan de trabajo y las sugerencias de los miembros</w:t>
      </w:r>
      <w:r w:rsidR="0064598F" w:rsidRPr="00202221">
        <w:rPr>
          <w:rFonts w:eastAsia="Times New Roman" w:cs="Arial"/>
          <w:sz w:val="20"/>
          <w:szCs w:val="20"/>
          <w:lang w:val="es-ES"/>
        </w:rPr>
        <w:t xml:space="preserve">, así como las sugerencias del CNC </w:t>
      </w:r>
      <w:r w:rsidR="00C01BC9" w:rsidRPr="00202221">
        <w:rPr>
          <w:rFonts w:eastAsia="Times New Roman" w:cs="Arial"/>
          <w:sz w:val="20"/>
          <w:szCs w:val="20"/>
          <w:lang w:val="es-ES"/>
        </w:rPr>
        <w:t xml:space="preserve">tras las </w:t>
      </w:r>
      <w:r w:rsidR="0064598F" w:rsidRPr="00202221">
        <w:rPr>
          <w:rFonts w:eastAsia="Times New Roman" w:cs="Arial"/>
          <w:sz w:val="20"/>
          <w:szCs w:val="20"/>
          <w:lang w:val="es-ES"/>
        </w:rPr>
        <w:t>reuniones de los socios del clúster</w:t>
      </w:r>
      <w:r w:rsidR="005A10CE" w:rsidRPr="00202221">
        <w:rPr>
          <w:rFonts w:eastAsia="Times New Roman" w:cs="Arial"/>
          <w:sz w:val="20"/>
          <w:szCs w:val="20"/>
          <w:lang w:val="es-ES"/>
        </w:rPr>
        <w:t xml:space="preserve">. </w:t>
      </w:r>
    </w:p>
    <w:p w14:paraId="181918D9" w14:textId="44082D61" w:rsidR="005A10CE" w:rsidRPr="00202221" w:rsidRDefault="005A10CE" w:rsidP="005A10CE">
      <w:pPr>
        <w:autoSpaceDE w:val="0"/>
        <w:autoSpaceDN w:val="0"/>
        <w:adjustRightInd w:val="0"/>
        <w:spacing w:after="0" w:line="240" w:lineRule="auto"/>
        <w:rPr>
          <w:rFonts w:eastAsia="Times New Roman" w:cs="Arial"/>
          <w:sz w:val="20"/>
          <w:szCs w:val="20"/>
          <w:lang w:val="es-ES"/>
        </w:rPr>
      </w:pPr>
      <w:r w:rsidRPr="00202221">
        <w:rPr>
          <w:rFonts w:eastAsia="Times New Roman" w:cs="Arial"/>
          <w:sz w:val="20"/>
          <w:szCs w:val="20"/>
          <w:lang w:val="es-ES"/>
        </w:rPr>
        <w:t xml:space="preserve">Uno de los </w:t>
      </w:r>
      <w:r w:rsidR="00690D32" w:rsidRPr="00202221">
        <w:rPr>
          <w:rFonts w:eastAsia="Times New Roman" w:cs="Arial"/>
          <w:sz w:val="20"/>
          <w:szCs w:val="20"/>
          <w:lang w:val="es-ES"/>
        </w:rPr>
        <w:t xml:space="preserve">copresidentes </w:t>
      </w:r>
      <w:r w:rsidRPr="00202221">
        <w:rPr>
          <w:rFonts w:eastAsia="Times New Roman" w:cs="Arial"/>
          <w:sz w:val="20"/>
          <w:szCs w:val="20"/>
          <w:lang w:val="es-ES"/>
        </w:rPr>
        <w:t>será responsable de:</w:t>
      </w:r>
    </w:p>
    <w:p w14:paraId="15DAFE52" w14:textId="77777777" w:rsidR="005A10CE" w:rsidRPr="00202221" w:rsidRDefault="005A10CE" w:rsidP="005A10CE">
      <w:pPr>
        <w:pStyle w:val="Prrafodelista"/>
        <w:numPr>
          <w:ilvl w:val="0"/>
          <w:numId w:val="14"/>
        </w:numPr>
        <w:autoSpaceDE w:val="0"/>
        <w:autoSpaceDN w:val="0"/>
        <w:adjustRightInd w:val="0"/>
        <w:spacing w:after="0" w:line="240" w:lineRule="auto"/>
        <w:rPr>
          <w:rFonts w:eastAsia="Times New Roman" w:cs="Arial"/>
          <w:sz w:val="20"/>
          <w:szCs w:val="20"/>
          <w:lang w:val="es-ES"/>
        </w:rPr>
      </w:pPr>
      <w:r w:rsidRPr="00202221">
        <w:rPr>
          <w:rFonts w:eastAsia="Times New Roman" w:cs="Arial"/>
          <w:sz w:val="20"/>
          <w:szCs w:val="20"/>
          <w:lang w:val="es-ES"/>
        </w:rPr>
        <w:t>Distribuir el borrador del acta a los miembros del grupo a más tardar dos días después de la reunión</w:t>
      </w:r>
    </w:p>
    <w:p w14:paraId="0D5B6031" w14:textId="77777777" w:rsidR="005A10CE" w:rsidRPr="00202221" w:rsidRDefault="005A10CE" w:rsidP="005A10CE">
      <w:pPr>
        <w:pStyle w:val="Prrafodelista"/>
        <w:numPr>
          <w:ilvl w:val="0"/>
          <w:numId w:val="14"/>
        </w:numPr>
        <w:autoSpaceDE w:val="0"/>
        <w:autoSpaceDN w:val="0"/>
        <w:adjustRightInd w:val="0"/>
        <w:spacing w:after="0" w:line="240" w:lineRule="auto"/>
        <w:rPr>
          <w:rFonts w:eastAsia="Times New Roman" w:cs="Arial"/>
          <w:sz w:val="20"/>
          <w:szCs w:val="20"/>
          <w:lang w:val="es-ES"/>
        </w:rPr>
      </w:pPr>
      <w:r w:rsidRPr="00202221">
        <w:rPr>
          <w:rFonts w:eastAsia="Times New Roman" w:cs="Arial"/>
          <w:sz w:val="20"/>
          <w:szCs w:val="20"/>
          <w:lang w:val="es-ES"/>
        </w:rPr>
        <w:t>Incorporar los comentarios y las opiniones de los miembros del grupo</w:t>
      </w:r>
    </w:p>
    <w:p w14:paraId="0585E776" w14:textId="77777777" w:rsidR="005A10CE" w:rsidRPr="00202221" w:rsidRDefault="005A10CE" w:rsidP="005A10CE">
      <w:pPr>
        <w:pStyle w:val="Prrafodelista"/>
        <w:numPr>
          <w:ilvl w:val="0"/>
          <w:numId w:val="14"/>
        </w:numPr>
        <w:autoSpaceDE w:val="0"/>
        <w:autoSpaceDN w:val="0"/>
        <w:adjustRightInd w:val="0"/>
        <w:spacing w:after="0" w:line="240" w:lineRule="auto"/>
        <w:rPr>
          <w:rFonts w:eastAsia="Times New Roman" w:cs="Arial"/>
          <w:sz w:val="20"/>
          <w:szCs w:val="20"/>
          <w:lang w:val="es-ES"/>
        </w:rPr>
      </w:pPr>
      <w:r w:rsidRPr="00202221">
        <w:rPr>
          <w:rFonts w:eastAsia="Times New Roman" w:cs="Arial"/>
          <w:sz w:val="20"/>
          <w:szCs w:val="20"/>
          <w:lang w:val="es-ES"/>
        </w:rPr>
        <w:t>Distribuir el acta final lo antes posible (antes de la siguiente reunión)</w:t>
      </w:r>
    </w:p>
    <w:p w14:paraId="7D0D3B0F" w14:textId="56F76963" w:rsidR="005A10CE" w:rsidRPr="00202221" w:rsidRDefault="00690D32" w:rsidP="005A10CE">
      <w:pPr>
        <w:pStyle w:val="Prrafodelista"/>
        <w:numPr>
          <w:ilvl w:val="0"/>
          <w:numId w:val="14"/>
        </w:numPr>
        <w:autoSpaceDE w:val="0"/>
        <w:autoSpaceDN w:val="0"/>
        <w:adjustRightInd w:val="0"/>
        <w:spacing w:after="0" w:line="240" w:lineRule="auto"/>
        <w:rPr>
          <w:rFonts w:eastAsia="Times New Roman" w:cs="Arial"/>
          <w:sz w:val="20"/>
          <w:szCs w:val="20"/>
          <w:lang w:val="es-ES"/>
        </w:rPr>
      </w:pPr>
      <w:r w:rsidRPr="00202221">
        <w:rPr>
          <w:rFonts w:eastAsia="Times New Roman" w:cs="Arial"/>
          <w:sz w:val="20"/>
          <w:szCs w:val="20"/>
          <w:lang w:val="es-ES"/>
        </w:rPr>
        <w:t xml:space="preserve">Garantizar que las </w:t>
      </w:r>
      <w:r w:rsidR="005A10CE" w:rsidRPr="00202221">
        <w:rPr>
          <w:rFonts w:eastAsia="Times New Roman" w:cs="Arial"/>
          <w:sz w:val="20"/>
          <w:szCs w:val="20"/>
          <w:lang w:val="es-ES"/>
        </w:rPr>
        <w:t xml:space="preserve">actas </w:t>
      </w:r>
      <w:r w:rsidRPr="00202221">
        <w:rPr>
          <w:rFonts w:eastAsia="Times New Roman" w:cs="Arial"/>
          <w:sz w:val="20"/>
          <w:szCs w:val="20"/>
          <w:lang w:val="es-ES"/>
        </w:rPr>
        <w:t xml:space="preserve">se suban </w:t>
      </w:r>
      <w:r w:rsidR="005A10CE" w:rsidRPr="00202221">
        <w:rPr>
          <w:rFonts w:eastAsia="Times New Roman" w:cs="Arial"/>
          <w:sz w:val="20"/>
          <w:szCs w:val="20"/>
          <w:lang w:val="es-ES"/>
        </w:rPr>
        <w:t xml:space="preserve">a la plataforma en línea </w:t>
      </w:r>
      <w:r w:rsidR="005A10CE" w:rsidRPr="00202221">
        <w:rPr>
          <w:rFonts w:eastAsia="Times New Roman" w:cs="Arial"/>
          <w:b/>
          <w:sz w:val="20"/>
          <w:szCs w:val="20"/>
          <w:lang w:val="es-ES"/>
        </w:rPr>
        <w:t xml:space="preserve">[insertar </w:t>
      </w:r>
      <w:r w:rsidR="0064598F" w:rsidRPr="00202221">
        <w:rPr>
          <w:rFonts w:eastAsia="Times New Roman" w:cs="Arial"/>
          <w:b/>
          <w:sz w:val="20"/>
          <w:szCs w:val="20"/>
          <w:lang w:val="es-ES"/>
        </w:rPr>
        <w:t xml:space="preserve">un enlace a la </w:t>
      </w:r>
      <w:r w:rsidR="005A10CE" w:rsidRPr="00202221">
        <w:rPr>
          <w:rFonts w:eastAsia="Times New Roman" w:cs="Arial"/>
          <w:b/>
          <w:sz w:val="20"/>
          <w:szCs w:val="20"/>
          <w:lang w:val="es-ES"/>
        </w:rPr>
        <w:t>plataforma en línea].</w:t>
      </w:r>
    </w:p>
    <w:p w14:paraId="7F9F9A31" w14:textId="77777777" w:rsidR="005A10CE" w:rsidRPr="00202221" w:rsidRDefault="005A10CE" w:rsidP="005A10CE">
      <w:pPr>
        <w:pStyle w:val="Prrafodelista"/>
        <w:autoSpaceDE w:val="0"/>
        <w:autoSpaceDN w:val="0"/>
        <w:adjustRightInd w:val="0"/>
        <w:spacing w:after="0" w:line="240" w:lineRule="auto"/>
        <w:ind w:left="360"/>
        <w:rPr>
          <w:rFonts w:eastAsia="Times New Roman" w:cs="Arial"/>
          <w:lang w:val="es-ES"/>
        </w:rPr>
      </w:pPr>
    </w:p>
    <w:p w14:paraId="28EB51CC" w14:textId="77777777" w:rsidR="00A57B72" w:rsidRPr="00202221" w:rsidRDefault="00EA2E59" w:rsidP="00A57B72">
      <w:pPr>
        <w:rPr>
          <w:b/>
          <w:sz w:val="20"/>
          <w:szCs w:val="20"/>
          <w:lang w:val="es-ES"/>
        </w:rPr>
      </w:pPr>
      <w:r w:rsidRPr="00202221">
        <w:rPr>
          <w:b/>
          <w:sz w:val="20"/>
          <w:szCs w:val="20"/>
          <w:lang w:val="es-ES"/>
        </w:rPr>
        <w:t xml:space="preserve">COMPARTIR INFORMACIÓN Y RECURSOS  </w:t>
      </w:r>
    </w:p>
    <w:p w14:paraId="66ADCCA8" w14:textId="43D14E1C" w:rsidR="000F4F2F" w:rsidRPr="00202221" w:rsidRDefault="00783F72" w:rsidP="000F4F2F">
      <w:pPr>
        <w:shd w:val="clear" w:color="auto" w:fill="FFFFFF"/>
        <w:spacing w:before="100" w:beforeAutospacing="1" w:after="225" w:line="240" w:lineRule="auto"/>
        <w:rPr>
          <w:rFonts w:eastAsia="Times New Roman"/>
          <w:i/>
          <w:color w:val="92D050"/>
          <w:sz w:val="20"/>
          <w:szCs w:val="20"/>
          <w:lang w:val="es-ES"/>
        </w:rPr>
      </w:pPr>
      <w:r w:rsidRPr="00202221">
        <w:rPr>
          <w:rFonts w:eastAsia="Times New Roman"/>
          <w:i/>
          <w:color w:val="92D050"/>
          <w:sz w:val="20"/>
          <w:szCs w:val="20"/>
          <w:lang w:val="es-ES"/>
        </w:rPr>
        <w:t xml:space="preserve">El </w:t>
      </w:r>
      <w:r w:rsidR="000F4F2F" w:rsidRPr="00202221">
        <w:rPr>
          <w:rFonts w:eastAsia="Times New Roman"/>
          <w:i/>
          <w:color w:val="92D050"/>
          <w:sz w:val="20"/>
          <w:szCs w:val="20"/>
          <w:lang w:val="es-ES"/>
        </w:rPr>
        <w:t xml:space="preserve">siguiente texto es adaptable y trata de responder a las siguientes preguntas: ¿Cómo compartirán los miembros del grupo la información y los recursos? ¿Dónde se colgarán las actas de la reunión?]. </w:t>
      </w:r>
    </w:p>
    <w:p w14:paraId="1B9F2DB2" w14:textId="5C713EA4" w:rsidR="0064598F" w:rsidRPr="00202221" w:rsidRDefault="000F4F2F" w:rsidP="008A6440">
      <w:pPr>
        <w:shd w:val="clear" w:color="auto" w:fill="FFFFFF"/>
        <w:spacing w:before="100" w:beforeAutospacing="1" w:after="225" w:line="240" w:lineRule="auto"/>
        <w:rPr>
          <w:b/>
          <w:sz w:val="20"/>
          <w:szCs w:val="20"/>
          <w:lang w:val="es-ES"/>
        </w:rPr>
      </w:pPr>
      <w:r w:rsidRPr="00202221">
        <w:rPr>
          <w:rFonts w:eastAsia="Times New Roman" w:cs="Arial"/>
          <w:sz w:val="20"/>
          <w:szCs w:val="20"/>
          <w:lang w:val="es-ES"/>
        </w:rPr>
        <w:t xml:space="preserve">La plataforma en línea </w:t>
      </w:r>
      <w:r w:rsidRPr="00202221">
        <w:rPr>
          <w:rFonts w:eastAsia="Times New Roman" w:cs="Arial"/>
          <w:b/>
          <w:sz w:val="20"/>
          <w:szCs w:val="20"/>
          <w:lang w:val="es-ES"/>
        </w:rPr>
        <w:t xml:space="preserve">[insertar un </w:t>
      </w:r>
      <w:r w:rsidR="0064598F" w:rsidRPr="00202221">
        <w:rPr>
          <w:rFonts w:eastAsia="Times New Roman" w:cs="Arial"/>
          <w:b/>
          <w:sz w:val="20"/>
          <w:szCs w:val="20"/>
          <w:lang w:val="es-ES"/>
        </w:rPr>
        <w:t>enlace a la plataforma en línea</w:t>
      </w:r>
      <w:r w:rsidRPr="00202221">
        <w:rPr>
          <w:rFonts w:eastAsia="Times New Roman" w:cs="Arial"/>
          <w:b/>
          <w:sz w:val="20"/>
          <w:szCs w:val="20"/>
          <w:lang w:val="es-ES"/>
        </w:rPr>
        <w:t xml:space="preserve">] </w:t>
      </w:r>
      <w:r w:rsidRPr="00202221">
        <w:rPr>
          <w:rFonts w:eastAsia="Times New Roman" w:cs="Arial"/>
          <w:sz w:val="20"/>
          <w:szCs w:val="20"/>
          <w:lang w:val="es-ES"/>
        </w:rPr>
        <w:t xml:space="preserve">está disponible para compartir la información y los recursos del GTT sobre </w:t>
      </w:r>
      <w:r w:rsidR="001C2285" w:rsidRPr="00202221">
        <w:rPr>
          <w:rFonts w:eastAsia="Times New Roman" w:cs="Arial"/>
          <w:sz w:val="20"/>
          <w:szCs w:val="20"/>
          <w:lang w:val="es-ES"/>
        </w:rPr>
        <w:t>micronutrientes</w:t>
      </w:r>
      <w:r w:rsidRPr="00202221">
        <w:rPr>
          <w:rFonts w:eastAsia="Times New Roman" w:cs="Arial"/>
          <w:sz w:val="20"/>
          <w:szCs w:val="20"/>
          <w:lang w:val="es-ES"/>
        </w:rPr>
        <w:t xml:space="preserve">. </w:t>
      </w:r>
      <w:r w:rsidR="00F517D9">
        <w:rPr>
          <w:rFonts w:eastAsia="Times New Roman" w:cs="Arial"/>
          <w:sz w:val="20"/>
          <w:szCs w:val="20"/>
          <w:lang w:val="es-ES"/>
        </w:rPr>
        <w:t>La</w:t>
      </w:r>
      <w:r w:rsidRPr="00202221">
        <w:rPr>
          <w:rFonts w:eastAsia="Times New Roman" w:cs="Arial"/>
          <w:sz w:val="20"/>
          <w:szCs w:val="20"/>
          <w:lang w:val="es-ES"/>
        </w:rPr>
        <w:t xml:space="preserve"> orden del día, las actas, los resultados, los informes de entrega y otros documentos relevantes para el trabajo del grupo se cargarán en [insertar enlace </w:t>
      </w:r>
      <w:r w:rsidRPr="00202221">
        <w:rPr>
          <w:rFonts w:eastAsia="Times New Roman" w:cs="Arial"/>
          <w:b/>
          <w:sz w:val="20"/>
          <w:szCs w:val="20"/>
          <w:lang w:val="es-ES"/>
        </w:rPr>
        <w:t>específico a la plataforma en línea</w:t>
      </w:r>
      <w:r w:rsidRPr="00202221">
        <w:rPr>
          <w:rFonts w:eastAsia="Times New Roman" w:cs="Arial"/>
          <w:sz w:val="20"/>
          <w:szCs w:val="20"/>
          <w:lang w:val="es-ES"/>
        </w:rPr>
        <w:t>]</w:t>
      </w:r>
      <w:r w:rsidR="0064598F" w:rsidRPr="00202221">
        <w:rPr>
          <w:rFonts w:eastAsia="Times New Roman" w:cs="Arial"/>
          <w:sz w:val="20"/>
          <w:szCs w:val="20"/>
          <w:lang w:val="es-ES"/>
        </w:rPr>
        <w:t xml:space="preserve">. Además, los principales recursos, herramientas y orientaciones estarán disponibles en el sitio web del Clúster de </w:t>
      </w:r>
      <w:r w:rsidR="00C01BC9" w:rsidRPr="00202221">
        <w:rPr>
          <w:rFonts w:eastAsia="Times New Roman" w:cs="Arial"/>
          <w:sz w:val="20"/>
          <w:szCs w:val="20"/>
          <w:lang w:val="es-ES"/>
        </w:rPr>
        <w:t xml:space="preserve">Nutrición </w:t>
      </w:r>
      <w:r w:rsidR="0064598F" w:rsidRPr="00202221">
        <w:rPr>
          <w:rFonts w:eastAsia="Times New Roman" w:cs="Arial"/>
          <w:sz w:val="20"/>
          <w:szCs w:val="20"/>
          <w:lang w:val="es-ES"/>
        </w:rPr>
        <w:t xml:space="preserve">(el </w:t>
      </w:r>
      <w:r w:rsidR="00F517D9">
        <w:rPr>
          <w:rFonts w:eastAsia="Times New Roman" w:cs="Arial"/>
          <w:sz w:val="20"/>
          <w:szCs w:val="20"/>
          <w:lang w:val="es-ES"/>
        </w:rPr>
        <w:t>líder</w:t>
      </w:r>
      <w:r w:rsidR="0064598F" w:rsidRPr="00202221">
        <w:rPr>
          <w:rFonts w:eastAsia="Times New Roman" w:cs="Arial"/>
          <w:sz w:val="20"/>
          <w:szCs w:val="20"/>
          <w:lang w:val="es-ES"/>
        </w:rPr>
        <w:t xml:space="preserve"> deberá informar al CC</w:t>
      </w:r>
      <w:r w:rsidR="00F517D9">
        <w:rPr>
          <w:rFonts w:eastAsia="Times New Roman" w:cs="Arial"/>
          <w:sz w:val="20"/>
          <w:szCs w:val="20"/>
          <w:lang w:val="es-ES"/>
        </w:rPr>
        <w:t>N</w:t>
      </w:r>
      <w:r w:rsidR="0064598F" w:rsidRPr="00202221">
        <w:rPr>
          <w:rFonts w:eastAsia="Times New Roman" w:cs="Arial"/>
          <w:sz w:val="20"/>
          <w:szCs w:val="20"/>
          <w:lang w:val="es-ES"/>
        </w:rPr>
        <w:t xml:space="preserve"> para que lo haga una vez que el documento esté finalizado)</w:t>
      </w:r>
    </w:p>
    <w:p w14:paraId="13F6C223" w14:textId="77777777" w:rsidR="0064598F" w:rsidRPr="00202221" w:rsidRDefault="0064598F" w:rsidP="00A57B72">
      <w:pPr>
        <w:rPr>
          <w:b/>
          <w:sz w:val="20"/>
          <w:szCs w:val="20"/>
          <w:lang w:val="es-ES"/>
        </w:rPr>
      </w:pPr>
    </w:p>
    <w:p w14:paraId="44B07499" w14:textId="75D1FD7E" w:rsidR="00A57B72" w:rsidRPr="00202221" w:rsidRDefault="00A57B72" w:rsidP="00A57B72">
      <w:pPr>
        <w:rPr>
          <w:b/>
          <w:sz w:val="20"/>
          <w:szCs w:val="20"/>
          <w:lang w:val="es-ES"/>
        </w:rPr>
      </w:pPr>
      <w:r w:rsidRPr="00202221">
        <w:rPr>
          <w:b/>
          <w:sz w:val="20"/>
          <w:szCs w:val="20"/>
          <w:lang w:val="es-ES"/>
        </w:rPr>
        <w:t xml:space="preserve">DOCUMENTOS ORIENTATIVOS </w:t>
      </w:r>
    </w:p>
    <w:p w14:paraId="16C05776" w14:textId="77777777" w:rsidR="00FE0294" w:rsidRPr="00202221" w:rsidRDefault="00FE0294" w:rsidP="00A57B72">
      <w:pPr>
        <w:shd w:val="clear" w:color="auto" w:fill="FFFFFF"/>
        <w:spacing w:before="100" w:beforeAutospacing="1" w:after="225" w:line="240" w:lineRule="auto"/>
        <w:rPr>
          <w:rFonts w:eastAsia="Times New Roman" w:cs="Arial"/>
          <w:b/>
          <w:lang w:val="es-ES"/>
        </w:rPr>
      </w:pPr>
      <w:r w:rsidRPr="00202221">
        <w:rPr>
          <w:rFonts w:eastAsia="Times New Roman" w:cs="Arial"/>
          <w:b/>
          <w:lang w:val="es-ES"/>
        </w:rPr>
        <w:t>A nivel de país</w:t>
      </w:r>
    </w:p>
    <w:p w14:paraId="4075EF18" w14:textId="494F7760" w:rsidR="00A57B72" w:rsidRPr="00202221" w:rsidRDefault="00A57B72" w:rsidP="00A57B72">
      <w:pPr>
        <w:shd w:val="clear" w:color="auto" w:fill="FFFFFF"/>
        <w:spacing w:before="100" w:beforeAutospacing="1" w:after="225" w:line="240" w:lineRule="auto"/>
        <w:rPr>
          <w:rFonts w:eastAsia="Times New Roman"/>
          <w:i/>
          <w:color w:val="92D050"/>
          <w:sz w:val="20"/>
          <w:szCs w:val="20"/>
          <w:lang w:val="es-ES"/>
        </w:rPr>
      </w:pPr>
      <w:r w:rsidRPr="00202221">
        <w:rPr>
          <w:rFonts w:eastAsia="Times New Roman"/>
          <w:i/>
          <w:color w:val="92D050"/>
          <w:sz w:val="20"/>
          <w:szCs w:val="20"/>
          <w:lang w:val="es-ES"/>
        </w:rPr>
        <w:t xml:space="preserve">Proporcionar la lista de documentos </w:t>
      </w:r>
      <w:r w:rsidR="00FE0294" w:rsidRPr="00202221">
        <w:rPr>
          <w:rFonts w:eastAsia="Times New Roman"/>
          <w:i/>
          <w:color w:val="92D050"/>
          <w:sz w:val="20"/>
          <w:szCs w:val="20"/>
          <w:lang w:val="es-ES"/>
        </w:rPr>
        <w:t xml:space="preserve">a nivel de país sobre </w:t>
      </w:r>
      <w:r w:rsidR="001C2285" w:rsidRPr="00202221">
        <w:rPr>
          <w:rFonts w:eastAsia="Times New Roman"/>
          <w:i/>
          <w:color w:val="92D050"/>
          <w:sz w:val="20"/>
          <w:szCs w:val="20"/>
          <w:lang w:val="es-ES"/>
        </w:rPr>
        <w:t xml:space="preserve">estudios de micronutrientes sobre deficiencias, políticas nacionales de micronutrientes, orientación operativa, etc. </w:t>
      </w:r>
      <w:r w:rsidR="00EA2E59" w:rsidRPr="00202221">
        <w:rPr>
          <w:rFonts w:eastAsia="Times New Roman"/>
          <w:i/>
          <w:color w:val="92D050"/>
          <w:sz w:val="20"/>
          <w:szCs w:val="20"/>
          <w:lang w:val="es-ES"/>
        </w:rPr>
        <w:t xml:space="preserve">] </w:t>
      </w:r>
    </w:p>
    <w:p w14:paraId="03C44F3A" w14:textId="685A5771" w:rsidR="00FE0294" w:rsidRPr="00202221" w:rsidRDefault="00FE0294" w:rsidP="000B501B">
      <w:pPr>
        <w:shd w:val="clear" w:color="auto" w:fill="FFFFFF"/>
        <w:spacing w:before="100" w:beforeAutospacing="1" w:after="225" w:line="240" w:lineRule="auto"/>
        <w:rPr>
          <w:rFonts w:eastAsia="Times New Roman" w:cs="Arial"/>
          <w:b/>
          <w:lang w:val="es-ES"/>
        </w:rPr>
      </w:pPr>
      <w:r w:rsidRPr="00202221">
        <w:rPr>
          <w:rFonts w:eastAsia="Times New Roman" w:cs="Arial"/>
          <w:b/>
          <w:lang w:val="es-ES"/>
        </w:rPr>
        <w:t xml:space="preserve">A nivel mundial </w:t>
      </w:r>
    </w:p>
    <w:p w14:paraId="0560F1DD" w14:textId="7A114B07" w:rsidR="00114BEB" w:rsidRPr="00202221" w:rsidRDefault="00114BEB" w:rsidP="009E5BD7">
      <w:pPr>
        <w:shd w:val="clear" w:color="auto" w:fill="FFFFFF"/>
        <w:tabs>
          <w:tab w:val="left" w:pos="3105"/>
        </w:tabs>
        <w:spacing w:before="100" w:beforeAutospacing="1" w:after="225" w:line="240" w:lineRule="auto"/>
        <w:ind w:right="300"/>
        <w:textAlignment w:val="baseline"/>
        <w:rPr>
          <w:rFonts w:cs="Arial"/>
          <w:sz w:val="20"/>
          <w:szCs w:val="20"/>
          <w:bdr w:val="none" w:sz="0" w:space="0" w:color="auto" w:frame="1"/>
          <w:shd w:val="clear" w:color="auto" w:fill="FFFFFF"/>
          <w:lang w:val="es-ES"/>
        </w:rPr>
      </w:pPr>
      <w:r w:rsidRPr="00202221">
        <w:rPr>
          <w:rFonts w:cs="Arial"/>
          <w:sz w:val="20"/>
          <w:szCs w:val="20"/>
          <w:bdr w:val="none" w:sz="0" w:space="0" w:color="auto" w:frame="1"/>
          <w:shd w:val="clear" w:color="auto" w:fill="FFFFFF"/>
          <w:lang w:val="es-ES"/>
        </w:rPr>
        <w:t xml:space="preserve">El </w:t>
      </w:r>
      <w:hyperlink r:id="rId8" w:history="1">
        <w:r w:rsidRPr="00202221">
          <w:rPr>
            <w:rStyle w:val="Hipervnculo"/>
            <w:rFonts w:cs="Arial"/>
            <w:color w:val="auto"/>
            <w:sz w:val="20"/>
            <w:szCs w:val="20"/>
            <w:bdr w:val="none" w:sz="0" w:space="0" w:color="auto" w:frame="1"/>
            <w:shd w:val="clear" w:color="auto" w:fill="FFFFFF"/>
            <w:lang w:val="es-ES"/>
          </w:rPr>
          <w:t xml:space="preserve">HRP Consejos </w:t>
        </w:r>
      </w:hyperlink>
      <w:r w:rsidRPr="00202221">
        <w:rPr>
          <w:rFonts w:cs="Arial"/>
          <w:sz w:val="20"/>
          <w:szCs w:val="20"/>
          <w:bdr w:val="none" w:sz="0" w:space="0" w:color="auto" w:frame="1"/>
          <w:shd w:val="clear" w:color="auto" w:fill="FFFFFF"/>
          <w:lang w:val="es-ES"/>
        </w:rPr>
        <w:t xml:space="preserve">página 65 a 87 </w:t>
      </w:r>
    </w:p>
    <w:p w14:paraId="666BE24F" w14:textId="77777777"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r w:rsidRPr="00202221">
        <w:rPr>
          <w:rFonts w:asciiTheme="minorHAnsi" w:eastAsiaTheme="minorHAnsi" w:hAnsiTheme="minorHAnsi" w:cs="Arial"/>
          <w:color w:val="auto"/>
          <w:sz w:val="20"/>
          <w:szCs w:val="20"/>
          <w:bdr w:val="none" w:sz="0" w:space="0" w:color="auto" w:frame="1"/>
          <w:shd w:val="clear" w:color="auto" w:fill="FFFFFF"/>
          <w:lang w:val="es-ES"/>
        </w:rPr>
        <w:t>Calcio</w:t>
      </w:r>
    </w:p>
    <w:p w14:paraId="53D5D673"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Fonts w:asciiTheme="minorHAnsi" w:hAnsiTheme="minorHAnsi"/>
          <w:color w:val="333333"/>
          <w:sz w:val="20"/>
          <w:szCs w:val="20"/>
          <w:lang w:val="es-ES"/>
        </w:rPr>
      </w:pPr>
      <w:hyperlink r:id="rId9" w:history="1">
        <w:r w:rsidR="009E5BD7" w:rsidRPr="00202221">
          <w:rPr>
            <w:rStyle w:val="Hipervnculo"/>
            <w:rFonts w:asciiTheme="minorHAnsi" w:hAnsiTheme="minorHAnsi"/>
            <w:color w:val="auto"/>
            <w:sz w:val="20"/>
            <w:szCs w:val="20"/>
            <w:bdr w:val="none" w:sz="0" w:space="0" w:color="auto" w:frame="1"/>
            <w:lang w:val="es-ES"/>
          </w:rPr>
          <w:t>Suplementos de calcio durante el embarazo para reducir el riesgo de preeclampsia</w:t>
        </w:r>
      </w:hyperlink>
    </w:p>
    <w:p w14:paraId="7A4DCB7D" w14:textId="77777777"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p>
    <w:p w14:paraId="4D90ED3E" w14:textId="158477D8"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r w:rsidRPr="00202221">
        <w:rPr>
          <w:rFonts w:asciiTheme="minorHAnsi" w:eastAsiaTheme="minorHAnsi" w:hAnsiTheme="minorHAnsi" w:cs="Arial"/>
          <w:color w:val="auto"/>
          <w:sz w:val="20"/>
          <w:szCs w:val="20"/>
          <w:bdr w:val="none" w:sz="0" w:space="0" w:color="auto" w:frame="1"/>
          <w:shd w:val="clear" w:color="auto" w:fill="FFFFFF"/>
          <w:lang w:val="es-ES"/>
        </w:rPr>
        <w:t>Folato</w:t>
      </w:r>
    </w:p>
    <w:p w14:paraId="4BEA39D7"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10" w:history="1">
        <w:r w:rsidR="009E5BD7" w:rsidRPr="00202221">
          <w:rPr>
            <w:rStyle w:val="Hipervnculo"/>
            <w:rFonts w:asciiTheme="minorHAnsi" w:hAnsiTheme="minorHAnsi"/>
            <w:color w:val="auto"/>
            <w:sz w:val="20"/>
            <w:szCs w:val="20"/>
            <w:bdr w:val="none" w:sz="0" w:space="0" w:color="auto" w:frame="1"/>
            <w:lang w:val="es-ES"/>
          </w:rPr>
          <w:t>Suplementos diarios de hierro y ácido fólico durante el embarazo</w:t>
        </w:r>
      </w:hyperlink>
    </w:p>
    <w:p w14:paraId="73B9D088"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11" w:history="1">
        <w:r w:rsidR="009E5BD7" w:rsidRPr="00202221">
          <w:rPr>
            <w:rStyle w:val="Hipervnculo"/>
            <w:rFonts w:asciiTheme="minorHAnsi" w:hAnsiTheme="minorHAnsi"/>
            <w:color w:val="auto"/>
            <w:sz w:val="20"/>
            <w:szCs w:val="20"/>
            <w:bdr w:val="none" w:sz="0" w:space="0" w:color="auto" w:frame="1"/>
            <w:lang w:val="es-ES"/>
          </w:rPr>
          <w:t>Suplementos diarios de hierro y ácido fólico durante el embarazo en zonas donde el paludismo es endémico</w:t>
        </w:r>
      </w:hyperlink>
    </w:p>
    <w:p w14:paraId="3A81F308"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12" w:history="1">
        <w:r w:rsidR="009E5BD7" w:rsidRPr="00202221">
          <w:rPr>
            <w:rStyle w:val="Hipervnculo"/>
            <w:rFonts w:asciiTheme="minorHAnsi" w:hAnsiTheme="minorHAnsi"/>
            <w:color w:val="auto"/>
            <w:sz w:val="20"/>
            <w:szCs w:val="20"/>
            <w:bdr w:val="none" w:sz="0" w:space="0" w:color="auto" w:frame="1"/>
            <w:lang w:val="es-ES"/>
          </w:rPr>
          <w:t>Suplementos intermitentes de hierro y ácido fólico durante el embarazo</w:t>
        </w:r>
      </w:hyperlink>
    </w:p>
    <w:p w14:paraId="26555D0A"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13" w:history="1">
        <w:r w:rsidR="009E5BD7" w:rsidRPr="00202221">
          <w:rPr>
            <w:rStyle w:val="Hipervnculo"/>
            <w:rFonts w:asciiTheme="minorHAnsi" w:hAnsiTheme="minorHAnsi"/>
            <w:color w:val="auto"/>
            <w:sz w:val="20"/>
            <w:szCs w:val="20"/>
            <w:bdr w:val="none" w:sz="0" w:space="0" w:color="auto" w:frame="1"/>
            <w:lang w:val="es-ES"/>
          </w:rPr>
          <w:t>Suplementos intermitentes de hierro y ácido fólico durante el embarazo en zonas donde el paludismo es endémico</w:t>
        </w:r>
      </w:hyperlink>
    </w:p>
    <w:p w14:paraId="33DF0806"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14" w:history="1">
        <w:r w:rsidR="009E5BD7" w:rsidRPr="00202221">
          <w:rPr>
            <w:rStyle w:val="Hipervnculo"/>
            <w:rFonts w:asciiTheme="minorHAnsi" w:hAnsiTheme="minorHAnsi"/>
            <w:color w:val="auto"/>
            <w:sz w:val="20"/>
            <w:szCs w:val="20"/>
            <w:bdr w:val="none" w:sz="0" w:space="0" w:color="auto" w:frame="1"/>
            <w:lang w:val="es-ES"/>
          </w:rPr>
          <w:t>Suplementos intermitentes de hierro y ácido fólico en mujeres adultas y adolescentes</w:t>
        </w:r>
      </w:hyperlink>
    </w:p>
    <w:p w14:paraId="0E439B49"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15" w:history="1">
        <w:r w:rsidR="009E5BD7" w:rsidRPr="00202221">
          <w:rPr>
            <w:rStyle w:val="Hipervnculo"/>
            <w:rFonts w:asciiTheme="minorHAnsi" w:hAnsiTheme="minorHAnsi"/>
            <w:color w:val="auto"/>
            <w:sz w:val="20"/>
            <w:szCs w:val="20"/>
            <w:bdr w:val="none" w:sz="0" w:space="0" w:color="auto" w:frame="1"/>
            <w:lang w:val="es-ES"/>
          </w:rPr>
          <w:t>Administración intermitente de suplementos de hierro y ácido fólico en mujeres adultas y niñas adolescentes en zonas donde el paludismo es endémico</w:t>
        </w:r>
      </w:hyperlink>
    </w:p>
    <w:p w14:paraId="52A8EF79"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16" w:history="1">
        <w:r w:rsidR="009E5BD7" w:rsidRPr="00202221">
          <w:rPr>
            <w:rStyle w:val="Hipervnculo"/>
            <w:rFonts w:asciiTheme="minorHAnsi" w:hAnsiTheme="minorHAnsi"/>
            <w:color w:val="auto"/>
            <w:sz w:val="20"/>
            <w:szCs w:val="20"/>
            <w:bdr w:val="none" w:sz="0" w:space="0" w:color="auto" w:frame="1"/>
            <w:lang w:val="es-ES"/>
          </w:rPr>
          <w:t>Suplemento de hierro con o sin ácido fólico para reducir el riesgo de anemia posparto</w:t>
        </w:r>
      </w:hyperlink>
    </w:p>
    <w:p w14:paraId="35F7D863"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17" w:history="1">
        <w:r w:rsidR="009E5BD7" w:rsidRPr="00202221">
          <w:rPr>
            <w:rStyle w:val="Hipervnculo"/>
            <w:rFonts w:asciiTheme="minorHAnsi" w:hAnsiTheme="minorHAnsi"/>
            <w:color w:val="auto"/>
            <w:sz w:val="20"/>
            <w:szCs w:val="20"/>
            <w:bdr w:val="none" w:sz="0" w:space="0" w:color="auto" w:frame="1"/>
            <w:lang w:val="es-ES"/>
          </w:rPr>
          <w:t>Suplementos de hierro con o sin ácido fólico para reducir el riesgo de anemia posparto en zonas donde el paludismo es endémico</w:t>
        </w:r>
      </w:hyperlink>
    </w:p>
    <w:p w14:paraId="0035293B"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18" w:history="1">
        <w:r w:rsidR="009E5BD7" w:rsidRPr="00202221">
          <w:rPr>
            <w:rStyle w:val="Hipervnculo"/>
            <w:rFonts w:asciiTheme="minorHAnsi" w:hAnsiTheme="minorHAnsi"/>
            <w:color w:val="auto"/>
            <w:sz w:val="20"/>
            <w:szCs w:val="20"/>
            <w:bdr w:val="none" w:sz="0" w:space="0" w:color="auto" w:frame="1"/>
            <w:lang w:val="es-ES"/>
          </w:rPr>
          <w:t>Suplemento de ácido fólico periconcepcional para prevenir los defectos del tubo neural</w:t>
        </w:r>
      </w:hyperlink>
    </w:p>
    <w:p w14:paraId="0F7A84F3" w14:textId="77777777"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bookmarkStart w:id="0" w:name="iodine"/>
    </w:p>
    <w:p w14:paraId="127B790E" w14:textId="255A2CEF" w:rsidR="009E5BD7" w:rsidRPr="00202221" w:rsidRDefault="009E5BD7" w:rsidP="009E5BD7">
      <w:pPr>
        <w:pStyle w:val="Ttulo5"/>
        <w:shd w:val="clear" w:color="auto" w:fill="FFFFFF"/>
        <w:spacing w:before="0" w:line="270" w:lineRule="atLeast"/>
        <w:ind w:right="300"/>
        <w:textAlignment w:val="baseline"/>
        <w:rPr>
          <w:rFonts w:eastAsiaTheme="minorHAnsi" w:cs="Arial"/>
          <w:bdr w:val="none" w:sz="0" w:space="0" w:color="auto" w:frame="1"/>
          <w:shd w:val="clear" w:color="auto" w:fill="FFFFFF"/>
          <w:lang w:val="es-ES"/>
        </w:rPr>
      </w:pPr>
      <w:r w:rsidRPr="00202221">
        <w:rPr>
          <w:rFonts w:asciiTheme="minorHAnsi" w:eastAsiaTheme="minorHAnsi" w:hAnsiTheme="minorHAnsi" w:cs="Arial"/>
          <w:color w:val="auto"/>
          <w:sz w:val="20"/>
          <w:szCs w:val="20"/>
          <w:bdr w:val="none" w:sz="0" w:space="0" w:color="auto" w:frame="1"/>
          <w:shd w:val="clear" w:color="auto" w:fill="FFFFFF"/>
          <w:lang w:val="es-ES"/>
        </w:rPr>
        <w:t>Yodo</w:t>
      </w:r>
    </w:p>
    <w:bookmarkEnd w:id="0"/>
    <w:p w14:paraId="25DFBF8B" w14:textId="77777777" w:rsidR="009E5BD7" w:rsidRPr="00202221" w:rsidRDefault="009E5BD7"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r w:rsidRPr="009E5BD7">
        <w:rPr>
          <w:rStyle w:val="Hipervnculo"/>
          <w:rFonts w:asciiTheme="minorHAnsi" w:hAnsiTheme="minorHAnsi"/>
          <w:color w:val="auto"/>
          <w:bdr w:val="none" w:sz="0" w:space="0" w:color="auto" w:frame="1"/>
        </w:rPr>
        <w:fldChar w:fldCharType="begin"/>
      </w:r>
      <w:r w:rsidRPr="00202221">
        <w:rPr>
          <w:rStyle w:val="Hipervnculo"/>
          <w:rFonts w:asciiTheme="minorHAnsi" w:hAnsiTheme="minorHAnsi"/>
          <w:color w:val="auto"/>
          <w:bdr w:val="none" w:sz="0" w:space="0" w:color="auto" w:frame="1"/>
          <w:lang w:val="es-ES"/>
        </w:rPr>
        <w:instrText xml:space="preserve"> HYPERLINK "https://www.who.int/elena/titles/iodine_pregnancy/en/" </w:instrText>
      </w:r>
      <w:r w:rsidRPr="009E5BD7">
        <w:rPr>
          <w:rStyle w:val="Hipervnculo"/>
          <w:rFonts w:asciiTheme="minorHAnsi" w:hAnsiTheme="minorHAnsi"/>
          <w:color w:val="auto"/>
          <w:bdr w:val="none" w:sz="0" w:space="0" w:color="auto" w:frame="1"/>
        </w:rPr>
        <w:fldChar w:fldCharType="separate"/>
      </w:r>
      <w:r w:rsidRPr="00202221">
        <w:rPr>
          <w:rStyle w:val="Hipervnculo"/>
          <w:rFonts w:asciiTheme="minorHAnsi" w:hAnsiTheme="minorHAnsi"/>
          <w:color w:val="auto"/>
          <w:sz w:val="20"/>
          <w:szCs w:val="20"/>
          <w:bdr w:val="none" w:sz="0" w:space="0" w:color="auto" w:frame="1"/>
          <w:lang w:val="es-ES"/>
        </w:rPr>
        <w:t>Suplementos de yodo en mujeres embarazadas y lactantes</w:t>
      </w:r>
      <w:r w:rsidRPr="009E5BD7">
        <w:rPr>
          <w:rStyle w:val="Hipervnculo"/>
          <w:rFonts w:asciiTheme="minorHAnsi" w:hAnsiTheme="minorHAnsi"/>
          <w:color w:val="auto"/>
          <w:bdr w:val="none" w:sz="0" w:space="0" w:color="auto" w:frame="1"/>
        </w:rPr>
        <w:fldChar w:fldCharType="end"/>
      </w:r>
    </w:p>
    <w:p w14:paraId="13C3F4D9"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19" w:history="1">
        <w:r w:rsidR="009E5BD7" w:rsidRPr="00202221">
          <w:rPr>
            <w:rStyle w:val="Hipervnculo"/>
            <w:rFonts w:asciiTheme="minorHAnsi" w:hAnsiTheme="minorHAnsi"/>
            <w:color w:val="auto"/>
            <w:sz w:val="20"/>
            <w:szCs w:val="20"/>
            <w:bdr w:val="none" w:sz="0" w:space="0" w:color="auto" w:frame="1"/>
            <w:lang w:val="es-ES"/>
          </w:rPr>
          <w:t>La yodación de la sal para la prevención y el control de los trastornos por carencia de yodo</w:t>
        </w:r>
      </w:hyperlink>
    </w:p>
    <w:p w14:paraId="5D3CC78D" w14:textId="77777777"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p>
    <w:p w14:paraId="5F94DB1B" w14:textId="6A4B13A0"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r w:rsidRPr="00202221">
        <w:rPr>
          <w:rFonts w:asciiTheme="minorHAnsi" w:eastAsiaTheme="minorHAnsi" w:hAnsiTheme="minorHAnsi" w:cs="Arial"/>
          <w:color w:val="auto"/>
          <w:sz w:val="20"/>
          <w:szCs w:val="20"/>
          <w:bdr w:val="none" w:sz="0" w:space="0" w:color="auto" w:frame="1"/>
          <w:shd w:val="clear" w:color="auto" w:fill="FFFFFF"/>
          <w:lang w:val="es-ES"/>
        </w:rPr>
        <w:t>Hierro</w:t>
      </w:r>
    </w:p>
    <w:p w14:paraId="6CA69670"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20" w:history="1">
        <w:r w:rsidR="009E5BD7" w:rsidRPr="00202221">
          <w:rPr>
            <w:rStyle w:val="Hipervnculo"/>
            <w:rFonts w:asciiTheme="minorHAnsi" w:hAnsiTheme="minorHAnsi"/>
            <w:color w:val="auto"/>
            <w:sz w:val="20"/>
            <w:szCs w:val="20"/>
            <w:bdr w:val="none" w:sz="0" w:space="0" w:color="auto" w:frame="1"/>
            <w:lang w:val="es-ES"/>
          </w:rPr>
          <w:t>Suplementos diarios de hierro y ácido fólico durante el embarazo</w:t>
        </w:r>
      </w:hyperlink>
    </w:p>
    <w:p w14:paraId="4DE63BA6"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21" w:history="1">
        <w:r w:rsidR="009E5BD7" w:rsidRPr="00202221">
          <w:rPr>
            <w:rStyle w:val="Hipervnculo"/>
            <w:rFonts w:asciiTheme="minorHAnsi" w:hAnsiTheme="minorHAnsi"/>
            <w:color w:val="auto"/>
            <w:sz w:val="20"/>
            <w:szCs w:val="20"/>
            <w:bdr w:val="none" w:sz="0" w:space="0" w:color="auto" w:frame="1"/>
            <w:lang w:val="es-ES"/>
          </w:rPr>
          <w:t>Suplementos diarios de hierro y ácido fólico durante el embarazo en zonas donde el paludismo es endémico</w:t>
        </w:r>
      </w:hyperlink>
    </w:p>
    <w:p w14:paraId="148B3DFA"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22" w:history="1">
        <w:r w:rsidR="009E5BD7" w:rsidRPr="00202221">
          <w:rPr>
            <w:rStyle w:val="Hipervnculo"/>
            <w:rFonts w:asciiTheme="minorHAnsi" w:hAnsiTheme="minorHAnsi"/>
            <w:color w:val="auto"/>
            <w:sz w:val="20"/>
            <w:szCs w:val="20"/>
            <w:bdr w:val="none" w:sz="0" w:space="0" w:color="auto" w:frame="1"/>
            <w:lang w:val="es-ES"/>
          </w:rPr>
          <w:t>Suplemento diario de hierro en mujeres adultas y adolescentes</w:t>
        </w:r>
      </w:hyperlink>
    </w:p>
    <w:p w14:paraId="3CD55E29"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23" w:history="1">
        <w:r w:rsidR="009E5BD7" w:rsidRPr="00202221">
          <w:rPr>
            <w:rStyle w:val="Hipervnculo"/>
            <w:rFonts w:asciiTheme="minorHAnsi" w:hAnsiTheme="minorHAnsi"/>
            <w:color w:val="auto"/>
            <w:sz w:val="20"/>
            <w:szCs w:val="20"/>
            <w:bdr w:val="none" w:sz="0" w:space="0" w:color="auto" w:frame="1"/>
            <w:lang w:val="es-ES"/>
          </w:rPr>
          <w:t>Suplemento diario de hierro en niños de 24 a 59 meses de edad</w:t>
        </w:r>
      </w:hyperlink>
    </w:p>
    <w:p w14:paraId="608A2987"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24" w:history="1">
        <w:r w:rsidR="009E5BD7" w:rsidRPr="00202221">
          <w:rPr>
            <w:rStyle w:val="Hipervnculo"/>
            <w:rFonts w:asciiTheme="minorHAnsi" w:hAnsiTheme="minorHAnsi"/>
            <w:color w:val="auto"/>
            <w:sz w:val="20"/>
            <w:szCs w:val="20"/>
            <w:bdr w:val="none" w:sz="0" w:space="0" w:color="auto" w:frame="1"/>
            <w:lang w:val="es-ES"/>
          </w:rPr>
          <w:t>Suplemento diario de hierro en niños de 24 a 59 meses de edad en zonas donde el paludismo es endémico</w:t>
        </w:r>
      </w:hyperlink>
    </w:p>
    <w:p w14:paraId="2F6809B1"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25" w:history="1">
        <w:r w:rsidR="009E5BD7" w:rsidRPr="00202221">
          <w:rPr>
            <w:rStyle w:val="Hipervnculo"/>
            <w:rFonts w:asciiTheme="minorHAnsi" w:hAnsiTheme="minorHAnsi"/>
            <w:color w:val="auto"/>
            <w:sz w:val="20"/>
            <w:szCs w:val="20"/>
            <w:bdr w:val="none" w:sz="0" w:space="0" w:color="auto" w:frame="1"/>
            <w:lang w:val="es-ES"/>
          </w:rPr>
          <w:t>Suplemento diario de hierro en niños de 6 a 23 meses de edad</w:t>
        </w:r>
      </w:hyperlink>
    </w:p>
    <w:p w14:paraId="4548A97C"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26" w:history="1">
        <w:r w:rsidR="009E5BD7" w:rsidRPr="00202221">
          <w:rPr>
            <w:rStyle w:val="Hipervnculo"/>
            <w:rFonts w:asciiTheme="minorHAnsi" w:hAnsiTheme="minorHAnsi"/>
            <w:color w:val="auto"/>
            <w:sz w:val="20"/>
            <w:szCs w:val="20"/>
            <w:bdr w:val="none" w:sz="0" w:space="0" w:color="auto" w:frame="1"/>
            <w:lang w:val="es-ES"/>
          </w:rPr>
          <w:t>Suplemento diario de hierro en niños de 6 a 23 meses de edad en zonas donde el paludismo es endémico</w:t>
        </w:r>
      </w:hyperlink>
    </w:p>
    <w:p w14:paraId="0F9AE041"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27" w:history="1">
        <w:r w:rsidR="009E5BD7" w:rsidRPr="00202221">
          <w:rPr>
            <w:rStyle w:val="Hipervnculo"/>
            <w:rFonts w:asciiTheme="minorHAnsi" w:hAnsiTheme="minorHAnsi"/>
            <w:color w:val="auto"/>
            <w:sz w:val="20"/>
            <w:szCs w:val="20"/>
            <w:bdr w:val="none" w:sz="0" w:space="0" w:color="auto" w:frame="1"/>
            <w:lang w:val="es-ES"/>
          </w:rPr>
          <w:t>Suplemento diario de hierro en niños y adolescentes de 5 a 12 años</w:t>
        </w:r>
      </w:hyperlink>
    </w:p>
    <w:p w14:paraId="4399C7CC"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28" w:history="1">
        <w:r w:rsidR="009E5BD7" w:rsidRPr="00202221">
          <w:rPr>
            <w:rStyle w:val="Hipervnculo"/>
            <w:rFonts w:asciiTheme="minorHAnsi" w:hAnsiTheme="minorHAnsi"/>
            <w:color w:val="auto"/>
            <w:sz w:val="20"/>
            <w:szCs w:val="20"/>
            <w:bdr w:val="none" w:sz="0" w:space="0" w:color="auto" w:frame="1"/>
            <w:lang w:val="es-ES"/>
          </w:rPr>
          <w:t>Suplemento diario de hierro en niños y adolescentes de 5 a 12 años en zonas donde el paludismo es endémico</w:t>
        </w:r>
      </w:hyperlink>
    </w:p>
    <w:p w14:paraId="7D92C10F"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29" w:history="1">
        <w:r w:rsidR="009E5BD7" w:rsidRPr="00202221">
          <w:rPr>
            <w:rStyle w:val="Hipervnculo"/>
            <w:rFonts w:asciiTheme="minorHAnsi" w:hAnsiTheme="minorHAnsi"/>
            <w:color w:val="auto"/>
            <w:sz w:val="20"/>
            <w:szCs w:val="20"/>
            <w:bdr w:val="none" w:sz="0" w:space="0" w:color="auto" w:frame="1"/>
            <w:lang w:val="es-ES"/>
          </w:rPr>
          <w:t>Suplementos intermitentes de hierro y ácido fólico durante el embarazo</w:t>
        </w:r>
      </w:hyperlink>
    </w:p>
    <w:p w14:paraId="0205687F"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30" w:history="1">
        <w:r w:rsidR="009E5BD7" w:rsidRPr="00202221">
          <w:rPr>
            <w:rStyle w:val="Hipervnculo"/>
            <w:rFonts w:asciiTheme="minorHAnsi" w:hAnsiTheme="minorHAnsi"/>
            <w:color w:val="auto"/>
            <w:sz w:val="20"/>
            <w:szCs w:val="20"/>
            <w:bdr w:val="none" w:sz="0" w:space="0" w:color="auto" w:frame="1"/>
            <w:lang w:val="es-ES"/>
          </w:rPr>
          <w:t>Suplementos intermitentes de hierro y ácido fólico durante el embarazo en zonas donde el paludismo es endémico</w:t>
        </w:r>
      </w:hyperlink>
    </w:p>
    <w:p w14:paraId="24866FFC"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31" w:history="1">
        <w:r w:rsidR="009E5BD7" w:rsidRPr="00202221">
          <w:rPr>
            <w:rStyle w:val="Hipervnculo"/>
            <w:rFonts w:asciiTheme="minorHAnsi" w:hAnsiTheme="minorHAnsi"/>
            <w:color w:val="auto"/>
            <w:sz w:val="20"/>
            <w:szCs w:val="20"/>
            <w:bdr w:val="none" w:sz="0" w:space="0" w:color="auto" w:frame="1"/>
            <w:lang w:val="es-ES"/>
          </w:rPr>
          <w:t>Suplementos intermitentes de hierro y ácido fólico en mujeres adultas y adolescentes</w:t>
        </w:r>
      </w:hyperlink>
    </w:p>
    <w:p w14:paraId="5482D197"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32" w:history="1">
        <w:r w:rsidR="009E5BD7" w:rsidRPr="00202221">
          <w:rPr>
            <w:rStyle w:val="Hipervnculo"/>
            <w:rFonts w:asciiTheme="minorHAnsi" w:hAnsiTheme="minorHAnsi"/>
            <w:color w:val="auto"/>
            <w:sz w:val="20"/>
            <w:szCs w:val="20"/>
            <w:bdr w:val="none" w:sz="0" w:space="0" w:color="auto" w:frame="1"/>
            <w:lang w:val="es-ES"/>
          </w:rPr>
          <w:t>Administración intermitente de suplementos de hierro y ácido fólico en mujeres adultas y niñas adolescentes en zonas donde el paludismo es endémico</w:t>
        </w:r>
      </w:hyperlink>
    </w:p>
    <w:p w14:paraId="39AF83CB"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33" w:history="1">
        <w:r w:rsidR="009E5BD7" w:rsidRPr="00202221">
          <w:rPr>
            <w:rStyle w:val="Hipervnculo"/>
            <w:rFonts w:asciiTheme="minorHAnsi" w:hAnsiTheme="minorHAnsi"/>
            <w:color w:val="auto"/>
            <w:sz w:val="20"/>
            <w:szCs w:val="20"/>
            <w:bdr w:val="none" w:sz="0" w:space="0" w:color="auto" w:frame="1"/>
            <w:lang w:val="es-ES"/>
          </w:rPr>
          <w:t>Suplemento intermitente de hierro en niños de edad preescolar y escolar</w:t>
        </w:r>
      </w:hyperlink>
    </w:p>
    <w:p w14:paraId="1D5FD8D7"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34" w:history="1">
        <w:r w:rsidR="009E5BD7" w:rsidRPr="00202221">
          <w:rPr>
            <w:rStyle w:val="Hipervnculo"/>
            <w:rFonts w:asciiTheme="minorHAnsi" w:hAnsiTheme="minorHAnsi"/>
            <w:color w:val="auto"/>
            <w:sz w:val="20"/>
            <w:szCs w:val="20"/>
            <w:bdr w:val="none" w:sz="0" w:space="0" w:color="auto" w:frame="1"/>
            <w:lang w:val="es-ES"/>
          </w:rPr>
          <w:t>Administración intermitente de suplementos de hierro en niños de edad preescolar y escolar en zonas donde el paludismo es endémico</w:t>
        </w:r>
      </w:hyperlink>
    </w:p>
    <w:p w14:paraId="010E7EA2"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35" w:history="1">
        <w:r w:rsidR="009E5BD7" w:rsidRPr="00202221">
          <w:rPr>
            <w:rStyle w:val="Hipervnculo"/>
            <w:rFonts w:asciiTheme="minorHAnsi" w:hAnsiTheme="minorHAnsi"/>
            <w:color w:val="auto"/>
            <w:sz w:val="20"/>
            <w:szCs w:val="20"/>
            <w:bdr w:val="none" w:sz="0" w:space="0" w:color="auto" w:frame="1"/>
            <w:lang w:val="es-ES"/>
          </w:rPr>
          <w:t>Suplemento de hierro con o sin ácido fólico para reducir el riesgo de anemia posparto</w:t>
        </w:r>
      </w:hyperlink>
    </w:p>
    <w:p w14:paraId="241CCE1E"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36" w:history="1">
        <w:r w:rsidR="009E5BD7" w:rsidRPr="00202221">
          <w:rPr>
            <w:rStyle w:val="Hipervnculo"/>
            <w:rFonts w:asciiTheme="minorHAnsi" w:hAnsiTheme="minorHAnsi"/>
            <w:color w:val="auto"/>
            <w:sz w:val="20"/>
            <w:szCs w:val="20"/>
            <w:bdr w:val="none" w:sz="0" w:space="0" w:color="auto" w:frame="1"/>
            <w:lang w:val="es-ES"/>
          </w:rPr>
          <w:t>Suplementos de hierro con o sin ácido fólico para reducir el riesgo de anemia posparto en zonas donde el paludismo es endémico</w:t>
        </w:r>
      </w:hyperlink>
    </w:p>
    <w:p w14:paraId="100A3171" w14:textId="77777777"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p>
    <w:p w14:paraId="001C1066" w14:textId="7FC051AC"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r w:rsidRPr="00202221">
        <w:rPr>
          <w:rFonts w:asciiTheme="minorHAnsi" w:eastAsiaTheme="minorHAnsi" w:hAnsiTheme="minorHAnsi" w:cs="Arial"/>
          <w:color w:val="auto"/>
          <w:sz w:val="20"/>
          <w:szCs w:val="20"/>
          <w:bdr w:val="none" w:sz="0" w:space="0" w:color="auto" w:frame="1"/>
          <w:shd w:val="clear" w:color="auto" w:fill="FFFFFF"/>
          <w:lang w:val="es-ES"/>
        </w:rPr>
        <w:t>Potasio</w:t>
      </w:r>
    </w:p>
    <w:p w14:paraId="4FADBA36"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37" w:history="1">
        <w:r w:rsidR="009E5BD7" w:rsidRPr="00202221">
          <w:rPr>
            <w:rStyle w:val="Hipervnculo"/>
            <w:rFonts w:asciiTheme="minorHAnsi" w:hAnsiTheme="minorHAnsi"/>
            <w:color w:val="auto"/>
            <w:sz w:val="20"/>
            <w:szCs w:val="20"/>
            <w:bdr w:val="none" w:sz="0" w:space="0" w:color="auto" w:frame="1"/>
            <w:lang w:val="es-ES"/>
          </w:rPr>
          <w:t>Aumentar la ingesta de potasio para controlar la presión arterial en los niños</w:t>
        </w:r>
      </w:hyperlink>
    </w:p>
    <w:p w14:paraId="56CD7EB3"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38" w:history="1">
        <w:r w:rsidR="009E5BD7" w:rsidRPr="00202221">
          <w:rPr>
            <w:rStyle w:val="Hipervnculo"/>
            <w:rFonts w:asciiTheme="minorHAnsi" w:hAnsiTheme="minorHAnsi"/>
            <w:color w:val="auto"/>
            <w:sz w:val="20"/>
            <w:szCs w:val="20"/>
            <w:bdr w:val="none" w:sz="0" w:space="0" w:color="auto" w:frame="1"/>
            <w:lang w:val="es-ES"/>
          </w:rPr>
          <w:t>Aumentar la ingesta de potasio para reducir la presión arterial y el riesgo de enfermedades cardiovasculares en adultos</w:t>
        </w:r>
      </w:hyperlink>
    </w:p>
    <w:p w14:paraId="0A128937" w14:textId="77777777"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p>
    <w:p w14:paraId="248277BD" w14:textId="72177C90"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r w:rsidRPr="00202221">
        <w:rPr>
          <w:rFonts w:asciiTheme="minorHAnsi" w:eastAsiaTheme="minorHAnsi" w:hAnsiTheme="minorHAnsi" w:cs="Arial"/>
          <w:color w:val="auto"/>
          <w:sz w:val="20"/>
          <w:szCs w:val="20"/>
          <w:bdr w:val="none" w:sz="0" w:space="0" w:color="auto" w:frame="1"/>
          <w:shd w:val="clear" w:color="auto" w:fill="FFFFFF"/>
          <w:lang w:val="es-ES"/>
        </w:rPr>
        <w:t>Sodio</w:t>
      </w:r>
    </w:p>
    <w:p w14:paraId="3C3857EA"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39" w:history="1">
        <w:r w:rsidR="009E5BD7" w:rsidRPr="00202221">
          <w:rPr>
            <w:rStyle w:val="Hipervnculo"/>
            <w:rFonts w:asciiTheme="minorHAnsi" w:hAnsiTheme="minorHAnsi"/>
            <w:color w:val="auto"/>
            <w:sz w:val="20"/>
            <w:szCs w:val="20"/>
            <w:bdr w:val="none" w:sz="0" w:space="0" w:color="auto" w:frame="1"/>
            <w:lang w:val="es-ES"/>
          </w:rPr>
          <w:t>La yodación de la sal para la prevención y el control de los trastornos por carencia de yodo</w:t>
        </w:r>
      </w:hyperlink>
    </w:p>
    <w:p w14:paraId="58918612"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40" w:history="1">
        <w:r w:rsidR="009E5BD7" w:rsidRPr="00202221">
          <w:rPr>
            <w:rStyle w:val="Hipervnculo"/>
            <w:rFonts w:asciiTheme="minorHAnsi" w:hAnsiTheme="minorHAnsi"/>
            <w:color w:val="auto"/>
            <w:sz w:val="20"/>
            <w:szCs w:val="20"/>
            <w:bdr w:val="none" w:sz="0" w:space="0" w:color="auto" w:frame="1"/>
            <w:lang w:val="es-ES"/>
          </w:rPr>
          <w:t>Reducir el consumo de sodio para controlar la presión arterial en los niños</w:t>
        </w:r>
      </w:hyperlink>
    </w:p>
    <w:p w14:paraId="61D1471D"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41" w:history="1">
        <w:r w:rsidR="009E5BD7" w:rsidRPr="00202221">
          <w:rPr>
            <w:rStyle w:val="Hipervnculo"/>
            <w:rFonts w:asciiTheme="minorHAnsi" w:hAnsiTheme="minorHAnsi"/>
            <w:color w:val="auto"/>
            <w:sz w:val="20"/>
            <w:szCs w:val="20"/>
            <w:bdr w:val="none" w:sz="0" w:space="0" w:color="auto" w:frame="1"/>
            <w:lang w:val="es-ES"/>
          </w:rPr>
          <w:t>Reducir la ingesta de sodio para disminuir la presión arterial y el riesgo de enfermedades cardiovasculares en adultos</w:t>
        </w:r>
      </w:hyperlink>
    </w:p>
    <w:p w14:paraId="5DE76484" w14:textId="77777777"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bookmarkStart w:id="1" w:name="vitamina"/>
    </w:p>
    <w:p w14:paraId="34A216ED" w14:textId="0426C1D9"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r w:rsidRPr="00202221">
        <w:rPr>
          <w:rFonts w:asciiTheme="minorHAnsi" w:eastAsiaTheme="minorHAnsi" w:hAnsiTheme="minorHAnsi" w:cs="Arial"/>
          <w:color w:val="auto"/>
          <w:sz w:val="20"/>
          <w:szCs w:val="20"/>
          <w:bdr w:val="none" w:sz="0" w:space="0" w:color="auto" w:frame="1"/>
          <w:shd w:val="clear" w:color="auto" w:fill="FFFFFF"/>
          <w:lang w:val="es-ES"/>
        </w:rPr>
        <w:t>Vitamina A</w:t>
      </w:r>
    </w:p>
    <w:bookmarkEnd w:id="1"/>
    <w:p w14:paraId="49565172" w14:textId="77777777" w:rsidR="009E5BD7" w:rsidRPr="00202221" w:rsidRDefault="009E5BD7"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r w:rsidRPr="009E5BD7">
        <w:rPr>
          <w:rStyle w:val="Hipervnculo"/>
          <w:rFonts w:asciiTheme="minorHAnsi" w:hAnsiTheme="minorHAnsi"/>
          <w:color w:val="auto"/>
          <w:bdr w:val="none" w:sz="0" w:space="0" w:color="auto" w:frame="1"/>
        </w:rPr>
        <w:fldChar w:fldCharType="begin"/>
      </w:r>
      <w:r w:rsidRPr="00202221">
        <w:rPr>
          <w:rStyle w:val="Hipervnculo"/>
          <w:rFonts w:asciiTheme="minorHAnsi" w:hAnsiTheme="minorHAnsi"/>
          <w:color w:val="auto"/>
          <w:bdr w:val="none" w:sz="0" w:space="0" w:color="auto" w:frame="1"/>
          <w:lang w:val="es-ES"/>
        </w:rPr>
        <w:instrText xml:space="preserve"> HYPERLINK "https://www.who.int/elena/titles/vitamina_fortification/en/" </w:instrText>
      </w:r>
      <w:r w:rsidRPr="009E5BD7">
        <w:rPr>
          <w:rStyle w:val="Hipervnculo"/>
          <w:rFonts w:asciiTheme="minorHAnsi" w:hAnsiTheme="minorHAnsi"/>
          <w:color w:val="auto"/>
          <w:bdr w:val="none" w:sz="0" w:space="0" w:color="auto" w:frame="1"/>
        </w:rPr>
        <w:fldChar w:fldCharType="separate"/>
      </w:r>
      <w:r w:rsidRPr="00202221">
        <w:rPr>
          <w:rStyle w:val="Hipervnculo"/>
          <w:rFonts w:asciiTheme="minorHAnsi" w:hAnsiTheme="minorHAnsi"/>
          <w:color w:val="auto"/>
          <w:sz w:val="20"/>
          <w:szCs w:val="20"/>
          <w:bdr w:val="none" w:sz="0" w:space="0" w:color="auto" w:frame="1"/>
          <w:lang w:val="es-ES"/>
        </w:rPr>
        <w:t>Enriquecimiento de los alimentos básicos con vitamina A</w:t>
      </w:r>
      <w:r w:rsidRPr="009E5BD7">
        <w:rPr>
          <w:rStyle w:val="Hipervnculo"/>
          <w:rFonts w:asciiTheme="minorHAnsi" w:hAnsiTheme="minorHAnsi"/>
          <w:color w:val="auto"/>
          <w:bdr w:val="none" w:sz="0" w:space="0" w:color="auto" w:frame="1"/>
        </w:rPr>
        <w:fldChar w:fldCharType="end"/>
      </w:r>
    </w:p>
    <w:p w14:paraId="0F7F69F8"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42" w:history="1">
        <w:r w:rsidR="009E5BD7" w:rsidRPr="00202221">
          <w:rPr>
            <w:rStyle w:val="Hipervnculo"/>
            <w:rFonts w:asciiTheme="minorHAnsi" w:hAnsiTheme="minorHAnsi"/>
            <w:color w:val="auto"/>
            <w:sz w:val="20"/>
            <w:szCs w:val="20"/>
            <w:bdr w:val="none" w:sz="0" w:space="0" w:color="auto" w:frame="1"/>
            <w:lang w:val="es-ES"/>
          </w:rPr>
          <w:t>Suplementos de vitamina A durante el embarazo</w:t>
        </w:r>
      </w:hyperlink>
    </w:p>
    <w:p w14:paraId="2611039F"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43" w:history="1">
        <w:r w:rsidR="009E5BD7" w:rsidRPr="00202221">
          <w:rPr>
            <w:rStyle w:val="Hipervnculo"/>
            <w:rFonts w:asciiTheme="minorHAnsi" w:hAnsiTheme="minorHAnsi"/>
            <w:color w:val="auto"/>
            <w:sz w:val="20"/>
            <w:szCs w:val="20"/>
            <w:bdr w:val="none" w:sz="0" w:space="0" w:color="auto" w:frame="1"/>
            <w:lang w:val="es-ES"/>
          </w:rPr>
          <w:t>Suplemento de vitamina A en niños de 6 a 59 meses de edad con desnutrición aguda grave</w:t>
        </w:r>
      </w:hyperlink>
    </w:p>
    <w:p w14:paraId="75C4AAE6"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44" w:history="1">
        <w:r w:rsidR="009E5BD7" w:rsidRPr="00202221">
          <w:rPr>
            <w:rStyle w:val="Hipervnculo"/>
            <w:rFonts w:asciiTheme="minorHAnsi" w:hAnsiTheme="minorHAnsi"/>
            <w:color w:val="auto"/>
            <w:sz w:val="20"/>
            <w:szCs w:val="20"/>
            <w:bdr w:val="none" w:sz="0" w:space="0" w:color="auto" w:frame="1"/>
            <w:lang w:val="es-ES"/>
          </w:rPr>
          <w:t>Suplementos de vitamina A en niños con infecciones respiratorias</w:t>
        </w:r>
      </w:hyperlink>
    </w:p>
    <w:p w14:paraId="14DD25FB"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45" w:history="1">
        <w:r w:rsidR="009E5BD7" w:rsidRPr="00202221">
          <w:rPr>
            <w:rStyle w:val="Hipervnculo"/>
            <w:rFonts w:asciiTheme="minorHAnsi" w:hAnsiTheme="minorHAnsi"/>
            <w:color w:val="auto"/>
            <w:sz w:val="20"/>
            <w:szCs w:val="20"/>
            <w:bdr w:val="none" w:sz="0" w:space="0" w:color="auto" w:frame="1"/>
            <w:lang w:val="es-ES"/>
          </w:rPr>
          <w:t>Suplementos de vitamina A en adultos infectados por el VIH</w:t>
        </w:r>
      </w:hyperlink>
    </w:p>
    <w:p w14:paraId="0306BB5F"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46" w:history="1">
        <w:r w:rsidR="009E5BD7" w:rsidRPr="00202221">
          <w:rPr>
            <w:rStyle w:val="Hipervnculo"/>
            <w:rFonts w:asciiTheme="minorHAnsi" w:hAnsiTheme="minorHAnsi"/>
            <w:color w:val="auto"/>
            <w:sz w:val="20"/>
            <w:szCs w:val="20"/>
            <w:bdr w:val="none" w:sz="0" w:space="0" w:color="auto" w:frame="1"/>
            <w:lang w:val="es-ES"/>
          </w:rPr>
          <w:t>Suplementos de vitamina A en lactantes y niños infectados por el VIH de 6 a 59 meses de edad</w:t>
        </w:r>
      </w:hyperlink>
    </w:p>
    <w:p w14:paraId="344ECCEE"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47" w:history="1">
        <w:r w:rsidR="009E5BD7" w:rsidRPr="00202221">
          <w:rPr>
            <w:rStyle w:val="Hipervnculo"/>
            <w:rFonts w:asciiTheme="minorHAnsi" w:hAnsiTheme="minorHAnsi"/>
            <w:color w:val="auto"/>
            <w:sz w:val="20"/>
            <w:szCs w:val="20"/>
            <w:bdr w:val="none" w:sz="0" w:space="0" w:color="auto" w:frame="1"/>
            <w:lang w:val="es-ES"/>
          </w:rPr>
          <w:t>Suplementos de vitamina A en mujeres infectadas por el VIH durante el embarazo</w:t>
        </w:r>
      </w:hyperlink>
    </w:p>
    <w:p w14:paraId="4E18A0C0"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48" w:history="1">
        <w:r w:rsidR="009E5BD7" w:rsidRPr="00202221">
          <w:rPr>
            <w:rStyle w:val="Hipervnculo"/>
            <w:rFonts w:asciiTheme="minorHAnsi" w:hAnsiTheme="minorHAnsi"/>
            <w:color w:val="auto"/>
            <w:sz w:val="20"/>
            <w:szCs w:val="20"/>
            <w:bdr w:val="none" w:sz="0" w:space="0" w:color="auto" w:frame="1"/>
            <w:lang w:val="es-ES"/>
          </w:rPr>
          <w:t>Suplementos de vitamina A en lactantes de 1 a 5 meses de edad</w:t>
        </w:r>
      </w:hyperlink>
    </w:p>
    <w:p w14:paraId="21DBD1E0"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49" w:history="1">
        <w:r w:rsidR="009E5BD7" w:rsidRPr="00202221">
          <w:rPr>
            <w:rStyle w:val="Hipervnculo"/>
            <w:rFonts w:asciiTheme="minorHAnsi" w:hAnsiTheme="minorHAnsi"/>
            <w:color w:val="auto"/>
            <w:sz w:val="20"/>
            <w:szCs w:val="20"/>
            <w:bdr w:val="none" w:sz="0" w:space="0" w:color="auto" w:frame="1"/>
            <w:lang w:val="es-ES"/>
          </w:rPr>
          <w:t>Suplemento de vitamina A en lactantes y niños de 6 a 59 meses de edad</w:t>
        </w:r>
      </w:hyperlink>
    </w:p>
    <w:p w14:paraId="090F35FA"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50" w:history="1">
        <w:r w:rsidR="009E5BD7" w:rsidRPr="00202221">
          <w:rPr>
            <w:rStyle w:val="Hipervnculo"/>
            <w:rFonts w:asciiTheme="minorHAnsi" w:hAnsiTheme="minorHAnsi"/>
            <w:color w:val="auto"/>
            <w:sz w:val="20"/>
            <w:szCs w:val="20"/>
            <w:bdr w:val="none" w:sz="0" w:space="0" w:color="auto" w:frame="1"/>
            <w:lang w:val="es-ES"/>
          </w:rPr>
          <w:t>Suplemento de vitamina A en neonatos</w:t>
        </w:r>
      </w:hyperlink>
    </w:p>
    <w:p w14:paraId="279662C2"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51" w:history="1">
        <w:r w:rsidR="009E5BD7" w:rsidRPr="00202221">
          <w:rPr>
            <w:rStyle w:val="Hipervnculo"/>
            <w:rFonts w:asciiTheme="minorHAnsi" w:hAnsiTheme="minorHAnsi"/>
            <w:color w:val="auto"/>
            <w:sz w:val="20"/>
            <w:szCs w:val="20"/>
            <w:bdr w:val="none" w:sz="0" w:space="0" w:color="auto" w:frame="1"/>
            <w:lang w:val="es-ES"/>
          </w:rPr>
          <w:t>Suplementos de vitamina A en las mujeres puérperas</w:t>
        </w:r>
      </w:hyperlink>
    </w:p>
    <w:p w14:paraId="7D38D2B4" w14:textId="77777777"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p>
    <w:p w14:paraId="4F576306" w14:textId="11080F1F"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r w:rsidRPr="00202221">
        <w:rPr>
          <w:rFonts w:asciiTheme="minorHAnsi" w:eastAsiaTheme="minorHAnsi" w:hAnsiTheme="minorHAnsi" w:cs="Arial"/>
          <w:color w:val="auto"/>
          <w:sz w:val="20"/>
          <w:szCs w:val="20"/>
          <w:bdr w:val="none" w:sz="0" w:space="0" w:color="auto" w:frame="1"/>
          <w:shd w:val="clear" w:color="auto" w:fill="FFFFFF"/>
          <w:lang w:val="es-ES"/>
        </w:rPr>
        <w:t>Vitamina B6</w:t>
      </w:r>
    </w:p>
    <w:p w14:paraId="667EC002"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52" w:history="1">
        <w:r w:rsidR="009E5BD7" w:rsidRPr="00202221">
          <w:rPr>
            <w:rStyle w:val="Hipervnculo"/>
            <w:rFonts w:asciiTheme="minorHAnsi" w:hAnsiTheme="minorHAnsi"/>
            <w:color w:val="auto"/>
            <w:sz w:val="20"/>
            <w:szCs w:val="20"/>
            <w:bdr w:val="none" w:sz="0" w:space="0" w:color="auto" w:frame="1"/>
            <w:lang w:val="es-ES"/>
          </w:rPr>
          <w:t>Suplemento de vitamina B6 durante el embarazo</w:t>
        </w:r>
      </w:hyperlink>
    </w:p>
    <w:p w14:paraId="586E852C" w14:textId="77777777"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p>
    <w:p w14:paraId="2798FCF9" w14:textId="07F8374F"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r w:rsidRPr="00202221">
        <w:rPr>
          <w:rFonts w:asciiTheme="minorHAnsi" w:eastAsiaTheme="minorHAnsi" w:hAnsiTheme="minorHAnsi" w:cs="Arial"/>
          <w:color w:val="auto"/>
          <w:sz w:val="20"/>
          <w:szCs w:val="20"/>
          <w:bdr w:val="none" w:sz="0" w:space="0" w:color="auto" w:frame="1"/>
          <w:shd w:val="clear" w:color="auto" w:fill="FFFFFF"/>
          <w:lang w:val="es-ES"/>
        </w:rPr>
        <w:t>Vitamina C</w:t>
      </w:r>
    </w:p>
    <w:p w14:paraId="332D93AE"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53" w:history="1">
        <w:r w:rsidR="009E5BD7" w:rsidRPr="00202221">
          <w:rPr>
            <w:rStyle w:val="Hipervnculo"/>
            <w:rFonts w:asciiTheme="minorHAnsi" w:hAnsiTheme="minorHAnsi"/>
            <w:color w:val="auto"/>
            <w:sz w:val="20"/>
            <w:szCs w:val="20"/>
            <w:bdr w:val="none" w:sz="0" w:space="0" w:color="auto" w:frame="1"/>
            <w:lang w:val="es-ES"/>
          </w:rPr>
          <w:t>Suplementos de vitamina E y C durante el embarazo</w:t>
        </w:r>
      </w:hyperlink>
    </w:p>
    <w:p w14:paraId="1A805635" w14:textId="77777777"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p>
    <w:p w14:paraId="76874F07" w14:textId="22F7E106"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r w:rsidRPr="00202221">
        <w:rPr>
          <w:rFonts w:asciiTheme="minorHAnsi" w:eastAsiaTheme="minorHAnsi" w:hAnsiTheme="minorHAnsi" w:cs="Arial"/>
          <w:color w:val="auto"/>
          <w:sz w:val="20"/>
          <w:szCs w:val="20"/>
          <w:bdr w:val="none" w:sz="0" w:space="0" w:color="auto" w:frame="1"/>
          <w:shd w:val="clear" w:color="auto" w:fill="FFFFFF"/>
          <w:lang w:val="es-ES"/>
        </w:rPr>
        <w:t>Vitamina D</w:t>
      </w:r>
    </w:p>
    <w:p w14:paraId="3FEFB10F"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54" w:history="1">
        <w:r w:rsidR="009E5BD7" w:rsidRPr="00202221">
          <w:rPr>
            <w:rStyle w:val="Hipervnculo"/>
            <w:rFonts w:asciiTheme="minorHAnsi" w:hAnsiTheme="minorHAnsi"/>
            <w:color w:val="auto"/>
            <w:sz w:val="20"/>
            <w:szCs w:val="20"/>
            <w:bdr w:val="none" w:sz="0" w:space="0" w:color="auto" w:frame="1"/>
            <w:lang w:val="es-ES"/>
          </w:rPr>
          <w:t>Suplementos de vitamina D e infecciones respiratorias en niños</w:t>
        </w:r>
      </w:hyperlink>
    </w:p>
    <w:p w14:paraId="69686D7B"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55" w:history="1">
        <w:r w:rsidR="009E5BD7" w:rsidRPr="00202221">
          <w:rPr>
            <w:rStyle w:val="Hipervnculo"/>
            <w:rFonts w:asciiTheme="minorHAnsi" w:hAnsiTheme="minorHAnsi"/>
            <w:color w:val="auto"/>
            <w:sz w:val="20"/>
            <w:szCs w:val="20"/>
            <w:bdr w:val="none" w:sz="0" w:space="0" w:color="auto" w:frame="1"/>
            <w:lang w:val="es-ES"/>
          </w:rPr>
          <w:t>Suplementos de vitamina D durante el embarazo</w:t>
        </w:r>
      </w:hyperlink>
    </w:p>
    <w:p w14:paraId="663CEA23"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56" w:history="1">
        <w:r w:rsidR="009E5BD7" w:rsidRPr="00202221">
          <w:rPr>
            <w:rStyle w:val="Hipervnculo"/>
            <w:rFonts w:asciiTheme="minorHAnsi" w:hAnsiTheme="minorHAnsi"/>
            <w:color w:val="auto"/>
            <w:sz w:val="20"/>
            <w:szCs w:val="20"/>
            <w:bdr w:val="none" w:sz="0" w:space="0" w:color="auto" w:frame="1"/>
            <w:lang w:val="es-ES"/>
          </w:rPr>
          <w:t>Suplemento de vitamina D en bebés</w:t>
        </w:r>
      </w:hyperlink>
    </w:p>
    <w:p w14:paraId="3E442370" w14:textId="77777777"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p>
    <w:p w14:paraId="49EF347B" w14:textId="4877FD7B" w:rsidR="009E5BD7" w:rsidRPr="00202221" w:rsidRDefault="009E5BD7" w:rsidP="009E5BD7">
      <w:pPr>
        <w:pStyle w:val="Ttulo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lang w:val="es-ES"/>
        </w:rPr>
      </w:pPr>
      <w:r w:rsidRPr="00202221">
        <w:rPr>
          <w:rFonts w:asciiTheme="minorHAnsi" w:eastAsiaTheme="minorHAnsi" w:hAnsiTheme="minorHAnsi" w:cs="Arial"/>
          <w:color w:val="auto"/>
          <w:sz w:val="20"/>
          <w:szCs w:val="20"/>
          <w:bdr w:val="none" w:sz="0" w:space="0" w:color="auto" w:frame="1"/>
          <w:shd w:val="clear" w:color="auto" w:fill="FFFFFF"/>
          <w:lang w:val="es-ES"/>
        </w:rPr>
        <w:t>Vitamina E</w:t>
      </w:r>
    </w:p>
    <w:p w14:paraId="78BD1E82"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57" w:history="1">
        <w:r w:rsidR="009E5BD7" w:rsidRPr="00202221">
          <w:rPr>
            <w:rStyle w:val="Hipervnculo"/>
            <w:rFonts w:asciiTheme="minorHAnsi" w:hAnsiTheme="minorHAnsi"/>
            <w:color w:val="auto"/>
            <w:sz w:val="20"/>
            <w:szCs w:val="20"/>
            <w:bdr w:val="none" w:sz="0" w:space="0" w:color="auto" w:frame="1"/>
            <w:lang w:val="es-ES"/>
          </w:rPr>
          <w:t>Suplementos de vitamina E y C durante el embarazo</w:t>
        </w:r>
      </w:hyperlink>
    </w:p>
    <w:p w14:paraId="0A485A8A"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58" w:history="1">
        <w:r w:rsidR="009E5BD7" w:rsidRPr="00202221">
          <w:rPr>
            <w:rStyle w:val="Hipervnculo"/>
            <w:rFonts w:asciiTheme="minorHAnsi" w:hAnsiTheme="minorHAnsi"/>
            <w:color w:val="auto"/>
            <w:sz w:val="20"/>
            <w:szCs w:val="20"/>
            <w:bdr w:val="none" w:sz="0" w:space="0" w:color="auto" w:frame="1"/>
            <w:lang w:val="es-ES"/>
          </w:rPr>
          <w:t>Suplemento de vitamina E para la prevención de la morbilidad y la mortalidad en recién nacidos prematuros</w:t>
        </w:r>
      </w:hyperlink>
    </w:p>
    <w:p w14:paraId="273399A4" w14:textId="77777777" w:rsidR="009E5BD7" w:rsidRPr="00202221" w:rsidRDefault="009E5BD7"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sz w:val="20"/>
          <w:szCs w:val="20"/>
          <w:u w:val="none"/>
          <w:bdr w:val="none" w:sz="0" w:space="0" w:color="auto" w:frame="1"/>
          <w:lang w:val="es-ES"/>
        </w:rPr>
      </w:pPr>
    </w:p>
    <w:p w14:paraId="14C6169C" w14:textId="57104BAA" w:rsidR="009E5BD7" w:rsidRPr="00202221" w:rsidRDefault="009E5BD7"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sz w:val="20"/>
          <w:szCs w:val="20"/>
          <w:u w:val="none"/>
          <w:bdr w:val="none" w:sz="0" w:space="0" w:color="auto" w:frame="1"/>
          <w:lang w:val="es-ES"/>
        </w:rPr>
      </w:pPr>
      <w:r w:rsidRPr="00202221">
        <w:rPr>
          <w:rStyle w:val="Hipervnculo"/>
          <w:rFonts w:asciiTheme="minorHAnsi" w:hAnsiTheme="minorHAnsi"/>
          <w:color w:val="auto"/>
          <w:sz w:val="20"/>
          <w:szCs w:val="20"/>
          <w:u w:val="none"/>
          <w:bdr w:val="none" w:sz="0" w:space="0" w:color="auto" w:frame="1"/>
          <w:lang w:val="es-ES"/>
        </w:rPr>
        <w:t>Zinc</w:t>
      </w:r>
    </w:p>
    <w:p w14:paraId="0E5E142D"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59" w:history="1">
        <w:r w:rsidR="009E5BD7" w:rsidRPr="00202221">
          <w:rPr>
            <w:rStyle w:val="Hipervnculo"/>
            <w:rFonts w:asciiTheme="minorHAnsi" w:hAnsiTheme="minorHAnsi"/>
            <w:color w:val="auto"/>
            <w:sz w:val="20"/>
            <w:szCs w:val="20"/>
            <w:bdr w:val="none" w:sz="0" w:space="0" w:color="auto" w:frame="1"/>
            <w:lang w:val="es-ES"/>
          </w:rPr>
          <w:t>Suplementos de zinc y crecimiento en los niños</w:t>
        </w:r>
      </w:hyperlink>
    </w:p>
    <w:p w14:paraId="4A38A9FC"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60" w:history="1">
        <w:r w:rsidR="009E5BD7" w:rsidRPr="00202221">
          <w:rPr>
            <w:rStyle w:val="Hipervnculo"/>
            <w:rFonts w:asciiTheme="minorHAnsi" w:hAnsiTheme="minorHAnsi"/>
            <w:color w:val="auto"/>
            <w:sz w:val="20"/>
            <w:szCs w:val="20"/>
            <w:bdr w:val="none" w:sz="0" w:space="0" w:color="auto" w:frame="1"/>
            <w:lang w:val="es-ES"/>
          </w:rPr>
          <w:t>Suplementos de zinc durante el embarazo</w:t>
        </w:r>
      </w:hyperlink>
    </w:p>
    <w:p w14:paraId="7ADE05C1"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61" w:history="1">
        <w:r w:rsidR="009E5BD7" w:rsidRPr="00202221">
          <w:rPr>
            <w:rStyle w:val="Hipervnculo"/>
            <w:rFonts w:asciiTheme="minorHAnsi" w:hAnsiTheme="minorHAnsi"/>
            <w:color w:val="auto"/>
            <w:sz w:val="20"/>
            <w:szCs w:val="20"/>
            <w:bdr w:val="none" w:sz="0" w:space="0" w:color="auto" w:frame="1"/>
            <w:lang w:val="es-ES"/>
          </w:rPr>
          <w:t>Suplemento de zinc en niños con infecciones respiratorias</w:t>
        </w:r>
      </w:hyperlink>
    </w:p>
    <w:p w14:paraId="328FBBD1"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62" w:history="1">
        <w:r w:rsidR="009E5BD7" w:rsidRPr="00202221">
          <w:rPr>
            <w:rStyle w:val="Hipervnculo"/>
            <w:rFonts w:asciiTheme="minorHAnsi" w:hAnsiTheme="minorHAnsi"/>
            <w:color w:val="auto"/>
            <w:sz w:val="20"/>
            <w:szCs w:val="20"/>
            <w:bdr w:val="none" w:sz="0" w:space="0" w:color="auto" w:frame="1"/>
            <w:lang w:val="es-ES"/>
          </w:rPr>
          <w:t>Suplementos de zinc en el tratamiento de la diarrea</w:t>
        </w:r>
      </w:hyperlink>
    </w:p>
    <w:p w14:paraId="0B8F7DBB" w14:textId="77777777" w:rsidR="009E5BD7" w:rsidRPr="00202221" w:rsidRDefault="009E5BD7"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sz w:val="20"/>
          <w:szCs w:val="20"/>
          <w:u w:val="none"/>
          <w:bdr w:val="none" w:sz="0" w:space="0" w:color="auto" w:frame="1"/>
          <w:lang w:val="es-ES"/>
        </w:rPr>
      </w:pPr>
    </w:p>
    <w:p w14:paraId="4F2520C2" w14:textId="0199FD1A" w:rsidR="009E5BD7" w:rsidRPr="00202221" w:rsidRDefault="009E5BD7"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sz w:val="20"/>
          <w:szCs w:val="20"/>
          <w:u w:val="none"/>
          <w:bdr w:val="none" w:sz="0" w:space="0" w:color="auto" w:frame="1"/>
          <w:lang w:val="es-ES"/>
        </w:rPr>
      </w:pPr>
      <w:r w:rsidRPr="00202221">
        <w:rPr>
          <w:rStyle w:val="Hipervnculo"/>
          <w:rFonts w:asciiTheme="minorHAnsi" w:hAnsiTheme="minorHAnsi"/>
          <w:color w:val="auto"/>
          <w:sz w:val="20"/>
          <w:szCs w:val="20"/>
          <w:u w:val="none"/>
          <w:bdr w:val="none" w:sz="0" w:space="0" w:color="auto" w:frame="1"/>
          <w:lang w:val="es-ES"/>
        </w:rPr>
        <w:t>Micronutrientes</w:t>
      </w:r>
    </w:p>
    <w:p w14:paraId="5E669887"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63" w:history="1">
        <w:r w:rsidR="009E5BD7" w:rsidRPr="00202221">
          <w:rPr>
            <w:rStyle w:val="Hipervnculo"/>
            <w:rFonts w:asciiTheme="minorHAnsi" w:hAnsiTheme="minorHAnsi"/>
            <w:color w:val="auto"/>
            <w:sz w:val="20"/>
            <w:szCs w:val="20"/>
            <w:bdr w:val="none" w:sz="0" w:space="0" w:color="auto" w:frame="1"/>
            <w:lang w:val="es-ES"/>
          </w:rPr>
          <w:t>Biofortificación de los cultivos básicos</w:t>
        </w:r>
      </w:hyperlink>
    </w:p>
    <w:p w14:paraId="20F65C05"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64" w:history="1">
        <w:r w:rsidR="009E5BD7" w:rsidRPr="00202221">
          <w:rPr>
            <w:rStyle w:val="Hipervnculo"/>
            <w:rFonts w:asciiTheme="minorHAnsi" w:hAnsiTheme="minorHAnsi"/>
            <w:color w:val="auto"/>
            <w:sz w:val="20"/>
            <w:szCs w:val="20"/>
            <w:bdr w:val="none" w:sz="0" w:space="0" w:color="auto" w:frame="1"/>
            <w:lang w:val="es-ES"/>
          </w:rPr>
          <w:t>Fortificación de la harina de maíz y de la harina de maíz</w:t>
        </w:r>
      </w:hyperlink>
    </w:p>
    <w:p w14:paraId="2634F1A7"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65" w:history="1">
        <w:r w:rsidR="009E5BD7" w:rsidRPr="00202221">
          <w:rPr>
            <w:rStyle w:val="Hipervnculo"/>
            <w:rFonts w:asciiTheme="minorHAnsi" w:hAnsiTheme="minorHAnsi"/>
            <w:color w:val="auto"/>
            <w:sz w:val="20"/>
            <w:szCs w:val="20"/>
            <w:bdr w:val="none" w:sz="0" w:space="0" w:color="auto" w:frame="1"/>
            <w:lang w:val="es-ES"/>
          </w:rPr>
          <w:t>Fortificación del arroz</w:t>
        </w:r>
      </w:hyperlink>
    </w:p>
    <w:p w14:paraId="5827523B"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66" w:history="1">
        <w:r w:rsidR="009E5BD7" w:rsidRPr="00202221">
          <w:rPr>
            <w:rStyle w:val="Hipervnculo"/>
            <w:rFonts w:asciiTheme="minorHAnsi" w:hAnsiTheme="minorHAnsi"/>
            <w:color w:val="auto"/>
            <w:sz w:val="20"/>
            <w:szCs w:val="20"/>
            <w:bdr w:val="none" w:sz="0" w:space="0" w:color="auto" w:frame="1"/>
            <w:lang w:val="es-ES"/>
          </w:rPr>
          <w:t>Fortificación de la harina de trigo</w:t>
        </w:r>
      </w:hyperlink>
    </w:p>
    <w:p w14:paraId="778A94F8"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67" w:history="1">
        <w:r w:rsidR="009E5BD7" w:rsidRPr="00202221">
          <w:rPr>
            <w:rStyle w:val="Hipervnculo"/>
            <w:rFonts w:asciiTheme="minorHAnsi" w:hAnsiTheme="minorHAnsi"/>
            <w:color w:val="auto"/>
            <w:sz w:val="20"/>
            <w:szCs w:val="20"/>
            <w:bdr w:val="none" w:sz="0" w:space="0" w:color="auto" w:frame="1"/>
            <w:lang w:val="es-ES"/>
          </w:rPr>
          <w:t>Ingesta de micronutrientes en niños con desnutrición aguda grave</w:t>
        </w:r>
      </w:hyperlink>
    </w:p>
    <w:p w14:paraId="1A81F1BF"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68" w:history="1">
        <w:r w:rsidR="009E5BD7" w:rsidRPr="00202221">
          <w:rPr>
            <w:rStyle w:val="Hipervnculo"/>
            <w:rFonts w:asciiTheme="minorHAnsi" w:hAnsiTheme="minorHAnsi"/>
            <w:color w:val="auto"/>
            <w:sz w:val="20"/>
            <w:szCs w:val="20"/>
            <w:bdr w:val="none" w:sz="0" w:space="0" w:color="auto" w:frame="1"/>
            <w:lang w:val="es-ES"/>
          </w:rPr>
          <w:t>Suplementos de micronutrientes en mujeres infectadas por el VIH durante el embarazo</w:t>
        </w:r>
      </w:hyperlink>
    </w:p>
    <w:p w14:paraId="0623E569"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69" w:history="1">
        <w:r w:rsidR="009E5BD7" w:rsidRPr="00202221">
          <w:rPr>
            <w:rStyle w:val="Hipervnculo"/>
            <w:rFonts w:asciiTheme="minorHAnsi" w:hAnsiTheme="minorHAnsi"/>
            <w:color w:val="auto"/>
            <w:sz w:val="20"/>
            <w:szCs w:val="20"/>
            <w:bdr w:val="none" w:sz="0" w:space="0" w:color="auto" w:frame="1"/>
            <w:lang w:val="es-ES"/>
          </w:rPr>
          <w:t>Suplementos de micronutrientes en personas con tuberculosis activa</w:t>
        </w:r>
      </w:hyperlink>
    </w:p>
    <w:p w14:paraId="2A24A963"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70" w:history="1">
        <w:r w:rsidR="009E5BD7" w:rsidRPr="00202221">
          <w:rPr>
            <w:rStyle w:val="Hipervnculo"/>
            <w:rFonts w:asciiTheme="minorHAnsi" w:hAnsiTheme="minorHAnsi"/>
            <w:color w:val="auto"/>
            <w:sz w:val="20"/>
            <w:szCs w:val="20"/>
            <w:bdr w:val="none" w:sz="0" w:space="0" w:color="auto" w:frame="1"/>
            <w:lang w:val="es-ES"/>
          </w:rPr>
          <w:t>Suplementos de micronutrientes en recién nacidos de bajo peso y de muy bajo peso</w:t>
        </w:r>
      </w:hyperlink>
    </w:p>
    <w:p w14:paraId="5B83164D"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71" w:history="1">
        <w:r w:rsidR="009E5BD7" w:rsidRPr="00202221">
          <w:rPr>
            <w:rStyle w:val="Hipervnculo"/>
            <w:rFonts w:asciiTheme="minorHAnsi" w:hAnsiTheme="minorHAnsi"/>
            <w:color w:val="auto"/>
            <w:sz w:val="20"/>
            <w:szCs w:val="20"/>
            <w:bdr w:val="none" w:sz="0" w:space="0" w:color="auto" w:frame="1"/>
            <w:lang w:val="es-ES"/>
          </w:rPr>
          <w:t>Polvos de micronutrientes múltiples para el enriquecimiento en el punto de uso de los alimentos consumidos por niños de 2 a 12 años de edad</w:t>
        </w:r>
      </w:hyperlink>
    </w:p>
    <w:p w14:paraId="4EFB71EC"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72" w:history="1">
        <w:r w:rsidR="009E5BD7" w:rsidRPr="00202221">
          <w:rPr>
            <w:rStyle w:val="Hipervnculo"/>
            <w:rFonts w:asciiTheme="minorHAnsi" w:hAnsiTheme="minorHAnsi"/>
            <w:color w:val="auto"/>
            <w:sz w:val="20"/>
            <w:szCs w:val="20"/>
            <w:bdr w:val="none" w:sz="0" w:space="0" w:color="auto" w:frame="1"/>
            <w:lang w:val="es-ES"/>
          </w:rPr>
          <w:t>Polvos de micronutrientes múltiples para el enriquecimiento en el punto de uso de los alimentos consumidos por los niños de 6 a 23 meses de edad</w:t>
        </w:r>
      </w:hyperlink>
    </w:p>
    <w:p w14:paraId="1F4E3E6E"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73" w:history="1">
        <w:r w:rsidR="009E5BD7" w:rsidRPr="00202221">
          <w:rPr>
            <w:rStyle w:val="Hipervnculo"/>
            <w:rFonts w:asciiTheme="minorHAnsi" w:hAnsiTheme="minorHAnsi"/>
            <w:color w:val="auto"/>
            <w:sz w:val="20"/>
            <w:szCs w:val="20"/>
            <w:bdr w:val="none" w:sz="0" w:space="0" w:color="auto" w:frame="1"/>
            <w:lang w:val="es-ES"/>
          </w:rPr>
          <w:t>Polvos de micronutrientes múltiples para el enriquecimiento en el punto de uso de los alimentos consumidos por las mujeres embarazadas</w:t>
        </w:r>
      </w:hyperlink>
    </w:p>
    <w:p w14:paraId="17BDD7AF" w14:textId="77777777" w:rsidR="009E5BD7" w:rsidRPr="00202221" w:rsidRDefault="00310EAE"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hyperlink r:id="rId74" w:history="1">
        <w:r w:rsidR="009E5BD7" w:rsidRPr="00202221">
          <w:rPr>
            <w:rStyle w:val="Hipervnculo"/>
            <w:rFonts w:asciiTheme="minorHAnsi" w:hAnsiTheme="minorHAnsi"/>
            <w:color w:val="auto"/>
            <w:sz w:val="20"/>
            <w:szCs w:val="20"/>
            <w:bdr w:val="none" w:sz="0" w:space="0" w:color="auto" w:frame="1"/>
            <w:lang w:val="es-ES"/>
          </w:rPr>
          <w:t>Suplementos de micronutrientes múltiples durante el embarazo</w:t>
        </w:r>
      </w:hyperlink>
    </w:p>
    <w:p w14:paraId="72FEB9D7" w14:textId="6EF7752D" w:rsidR="009E5BD7" w:rsidRPr="00202221" w:rsidRDefault="009E5BD7" w:rsidP="009E5BD7">
      <w:pPr>
        <w:pStyle w:val="last"/>
        <w:shd w:val="clear" w:color="auto" w:fill="FFFFFF"/>
        <w:spacing w:before="0" w:beforeAutospacing="0" w:after="0" w:afterAutospacing="0" w:line="225" w:lineRule="atLeast"/>
        <w:ind w:left="-360" w:right="300" w:firstLine="360"/>
        <w:textAlignment w:val="baseline"/>
        <w:rPr>
          <w:rStyle w:val="Hipervnculo"/>
          <w:rFonts w:asciiTheme="minorHAnsi" w:hAnsiTheme="minorHAnsi"/>
          <w:color w:val="auto"/>
          <w:bdr w:val="none" w:sz="0" w:space="0" w:color="auto" w:frame="1"/>
          <w:lang w:val="es-ES"/>
        </w:rPr>
      </w:pPr>
    </w:p>
    <w:sectPr w:rsidR="009E5BD7" w:rsidRPr="00202221" w:rsidSect="00323946">
      <w:headerReference w:type="even" r:id="rId75"/>
      <w:headerReference w:type="default" r:id="rId76"/>
      <w:footerReference w:type="even" r:id="rId77"/>
      <w:footerReference w:type="default" r:id="rId78"/>
      <w:headerReference w:type="first" r:id="rId79"/>
      <w:footerReference w:type="first" r:id="rId8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8FF44" w14:textId="77777777" w:rsidR="00310EAE" w:rsidRDefault="00310EAE" w:rsidP="00F54A32">
      <w:pPr>
        <w:spacing w:after="0" w:line="240" w:lineRule="auto"/>
      </w:pPr>
      <w:r>
        <w:separator/>
      </w:r>
    </w:p>
  </w:endnote>
  <w:endnote w:type="continuationSeparator" w:id="0">
    <w:p w14:paraId="42BEB716" w14:textId="77777777" w:rsidR="00310EAE" w:rsidRDefault="00310EAE"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3D0FA" w14:textId="77777777" w:rsidR="001E57CB" w:rsidRDefault="001E57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610"/>
    </w:tblGrid>
    <w:tr w:rsidR="0064598F" w:rsidRPr="006F613F" w14:paraId="34FAE842" w14:textId="77777777" w:rsidTr="00D46855">
      <w:tc>
        <w:tcPr>
          <w:tcW w:w="6858" w:type="dxa"/>
        </w:tcPr>
        <w:p w14:paraId="21FFAB20" w14:textId="77777777" w:rsidR="0064598F" w:rsidRPr="00202221" w:rsidRDefault="0064598F">
          <w:pPr>
            <w:pStyle w:val="Piedepgina"/>
            <w:rPr>
              <w:color w:val="92D050"/>
              <w:sz w:val="20"/>
              <w:szCs w:val="20"/>
              <w:lang w:val="es-ES"/>
            </w:rPr>
          </w:pPr>
          <w:r w:rsidRPr="00202221">
            <w:rPr>
              <w:color w:val="92D050"/>
              <w:sz w:val="20"/>
              <w:szCs w:val="20"/>
              <w:lang w:val="es-ES"/>
            </w:rPr>
            <w:t>Coordinador de grupo</w:t>
          </w:r>
        </w:p>
        <w:p w14:paraId="6854A78A" w14:textId="439953D6" w:rsidR="0064598F" w:rsidRPr="00202221" w:rsidRDefault="0064598F">
          <w:pPr>
            <w:pStyle w:val="Piedepgina"/>
            <w:rPr>
              <w:color w:val="92D050"/>
              <w:sz w:val="20"/>
              <w:szCs w:val="20"/>
              <w:lang w:val="es-ES"/>
            </w:rPr>
          </w:pPr>
          <w:r w:rsidRPr="00202221">
            <w:rPr>
              <w:color w:val="92D050"/>
              <w:sz w:val="20"/>
              <w:szCs w:val="20"/>
              <w:lang w:val="es-ES"/>
            </w:rPr>
            <w:t>[Nombre Apellido]</w:t>
          </w:r>
        </w:p>
        <w:p w14:paraId="12AC4CD3" w14:textId="77777777" w:rsidR="0064598F" w:rsidRPr="00202221" w:rsidRDefault="0064598F">
          <w:pPr>
            <w:pStyle w:val="Piedepgina"/>
            <w:rPr>
              <w:color w:val="92D050"/>
              <w:sz w:val="20"/>
              <w:szCs w:val="20"/>
              <w:lang w:val="es-ES"/>
            </w:rPr>
          </w:pPr>
          <w:r w:rsidRPr="00202221">
            <w:rPr>
              <w:color w:val="92D050"/>
              <w:sz w:val="20"/>
              <w:szCs w:val="20"/>
              <w:lang w:val="es-ES"/>
            </w:rPr>
            <w:t xml:space="preserve">[email], </w:t>
          </w:r>
        </w:p>
        <w:p w14:paraId="770BFF82" w14:textId="77777777" w:rsidR="0064598F" w:rsidRPr="00202221" w:rsidRDefault="0064598F" w:rsidP="006F613F">
          <w:pPr>
            <w:pStyle w:val="Piedepgina"/>
            <w:rPr>
              <w:color w:val="92D050"/>
              <w:sz w:val="20"/>
              <w:szCs w:val="20"/>
              <w:lang w:val="es-ES"/>
            </w:rPr>
          </w:pPr>
          <w:r w:rsidRPr="00202221">
            <w:rPr>
              <w:color w:val="92D050"/>
              <w:sz w:val="20"/>
              <w:szCs w:val="20"/>
              <w:lang w:val="es-ES"/>
            </w:rPr>
            <w:t>[número de teléfono con código de país]</w:t>
          </w:r>
        </w:p>
      </w:tc>
      <w:tc>
        <w:tcPr>
          <w:tcW w:w="2610" w:type="dxa"/>
        </w:tcPr>
        <w:sdt>
          <w:sdtPr>
            <w:rPr>
              <w:color w:val="92D050"/>
              <w:sz w:val="20"/>
              <w:szCs w:val="20"/>
            </w:rPr>
            <w:id w:val="-24946498"/>
            <w:docPartObj>
              <w:docPartGallery w:val="Page Numbers (Bottom of Page)"/>
              <w:docPartUnique/>
            </w:docPartObj>
          </w:sdtPr>
          <w:sdtEndPr/>
          <w:sdtContent>
            <w:p w14:paraId="22561BA9" w14:textId="749D40EA" w:rsidR="0064598F" w:rsidRPr="00202221" w:rsidRDefault="0064598F" w:rsidP="006F613F">
              <w:pPr>
                <w:pStyle w:val="Piedepgina"/>
                <w:rPr>
                  <w:color w:val="92D050"/>
                  <w:sz w:val="20"/>
                  <w:szCs w:val="20"/>
                  <w:lang w:val="es-ES"/>
                </w:rPr>
              </w:pPr>
              <w:r w:rsidRPr="00202221">
                <w:rPr>
                  <w:color w:val="92D050"/>
                  <w:sz w:val="20"/>
                  <w:szCs w:val="20"/>
                  <w:lang w:val="es-ES"/>
                </w:rPr>
                <w:t>[</w:t>
              </w:r>
              <w:r w:rsidR="00897115" w:rsidRPr="00202221">
                <w:rPr>
                  <w:color w:val="92D050"/>
                  <w:sz w:val="20"/>
                  <w:szCs w:val="20"/>
                  <w:lang w:val="es-ES"/>
                </w:rPr>
                <w:t xml:space="preserve">Grupo de Trabajo sobre Micronutrientes de </w:t>
              </w:r>
              <w:r w:rsidRPr="00202221">
                <w:rPr>
                  <w:color w:val="92D050"/>
                  <w:sz w:val="20"/>
                  <w:szCs w:val="20"/>
                  <w:lang w:val="es-ES"/>
                </w:rPr>
                <w:t xml:space="preserve">los TdR </w:t>
              </w:r>
              <w:r w:rsidRPr="00202221">
                <w:rPr>
                  <w:b/>
                  <w:color w:val="92D050"/>
                  <w:sz w:val="20"/>
                  <w:szCs w:val="20"/>
                  <w:lang w:val="es-ES"/>
                </w:rPr>
                <w:t>[País]</w:t>
              </w:r>
              <w:r w:rsidRPr="00202221">
                <w:rPr>
                  <w:color w:val="92D050"/>
                  <w:sz w:val="20"/>
                  <w:szCs w:val="20"/>
                  <w:lang w:val="es-ES"/>
                </w:rPr>
                <w:t>]</w:t>
              </w:r>
            </w:p>
            <w:p w14:paraId="284CD274" w14:textId="314148E1" w:rsidR="00BB6AE6" w:rsidRPr="00783F72" w:rsidRDefault="00BB6AE6" w:rsidP="006F613F">
              <w:pPr>
                <w:pStyle w:val="Piedepgina"/>
                <w:rPr>
                  <w:color w:val="92D050"/>
                  <w:sz w:val="20"/>
                  <w:szCs w:val="20"/>
                </w:rPr>
              </w:pPr>
              <w:r w:rsidRPr="00783F72">
                <w:rPr>
                  <w:color w:val="92D050"/>
                  <w:sz w:val="20"/>
                  <w:szCs w:val="20"/>
                </w:rPr>
                <w:t xml:space="preserve">Revisado el </w:t>
              </w:r>
              <w:r w:rsidRPr="00783F72">
                <w:rPr>
                  <w:b/>
                  <w:color w:val="92D050"/>
                  <w:sz w:val="20"/>
                  <w:szCs w:val="20"/>
                </w:rPr>
                <w:t>[fecha]</w:t>
              </w:r>
            </w:p>
            <w:p w14:paraId="5C6FD891" w14:textId="77777777" w:rsidR="0064598F" w:rsidRPr="00783F72" w:rsidRDefault="0064598F" w:rsidP="00FA25C4">
              <w:pPr>
                <w:pStyle w:val="Piedepgina"/>
                <w:jc w:val="right"/>
                <w:rPr>
                  <w:color w:val="92D050"/>
                  <w:sz w:val="20"/>
                  <w:szCs w:val="20"/>
                </w:rPr>
              </w:pPr>
            </w:p>
            <w:p w14:paraId="49D41907" w14:textId="0C726C6D" w:rsidR="0064598F" w:rsidRPr="00783F72" w:rsidRDefault="0064598F" w:rsidP="00FA25C4">
              <w:pPr>
                <w:pStyle w:val="Piedepgina"/>
                <w:jc w:val="right"/>
                <w:rPr>
                  <w:color w:val="92D050"/>
                  <w:sz w:val="20"/>
                  <w:szCs w:val="20"/>
                </w:rPr>
              </w:pPr>
              <w:r w:rsidRPr="00783F72">
                <w:rPr>
                  <w:color w:val="92D050"/>
                  <w:sz w:val="20"/>
                  <w:szCs w:val="20"/>
                </w:rPr>
                <w:fldChar w:fldCharType="begin"/>
              </w:r>
              <w:r w:rsidRPr="00783F72">
                <w:rPr>
                  <w:color w:val="92D050"/>
                  <w:sz w:val="20"/>
                  <w:szCs w:val="20"/>
                </w:rPr>
                <w:instrText xml:space="preserve"> PAGE   \* MERGEFORMAT </w:instrText>
              </w:r>
              <w:r w:rsidRPr="00783F72">
                <w:rPr>
                  <w:color w:val="92D050"/>
                  <w:sz w:val="20"/>
                  <w:szCs w:val="20"/>
                </w:rPr>
                <w:fldChar w:fldCharType="separate"/>
              </w:r>
              <w:r w:rsidR="00925AAB" w:rsidRPr="00783F72">
                <w:rPr>
                  <w:noProof/>
                  <w:color w:val="92D050"/>
                  <w:sz w:val="20"/>
                  <w:szCs w:val="20"/>
                </w:rPr>
                <w:t>3</w:t>
              </w:r>
              <w:r w:rsidRPr="00783F72">
                <w:rPr>
                  <w:color w:val="92D050"/>
                  <w:sz w:val="20"/>
                  <w:szCs w:val="20"/>
                </w:rPr>
                <w:fldChar w:fldCharType="end"/>
              </w:r>
            </w:p>
          </w:sdtContent>
        </w:sdt>
        <w:p w14:paraId="68D10006" w14:textId="77777777" w:rsidR="0064598F" w:rsidRPr="00783F72" w:rsidRDefault="0064598F">
          <w:pPr>
            <w:pStyle w:val="Piedepgina"/>
            <w:rPr>
              <w:color w:val="92D050"/>
              <w:sz w:val="20"/>
              <w:szCs w:val="20"/>
            </w:rPr>
          </w:pPr>
        </w:p>
      </w:tc>
    </w:tr>
  </w:tbl>
  <w:p w14:paraId="18ACEC0B" w14:textId="77777777" w:rsidR="0064598F" w:rsidRPr="00FA29F6" w:rsidRDefault="0064598F">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C90F3" w14:textId="77777777" w:rsidR="001E57CB" w:rsidRDefault="001E57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C81D6" w14:textId="77777777" w:rsidR="00310EAE" w:rsidRDefault="00310EAE" w:rsidP="00F54A32">
      <w:pPr>
        <w:spacing w:after="0" w:line="240" w:lineRule="auto"/>
      </w:pPr>
      <w:r>
        <w:separator/>
      </w:r>
    </w:p>
  </w:footnote>
  <w:footnote w:type="continuationSeparator" w:id="0">
    <w:p w14:paraId="083C74A9" w14:textId="77777777" w:rsidR="00310EAE" w:rsidRDefault="00310EAE" w:rsidP="00F5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02A89" w14:textId="77777777" w:rsidR="001E57CB" w:rsidRDefault="001E57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3222"/>
      <w:gridCol w:w="6968"/>
    </w:tblGrid>
    <w:tr w:rsidR="0064598F" w:rsidRPr="006418D2" w14:paraId="67BE7732" w14:textId="77777777" w:rsidTr="00D46855">
      <w:tc>
        <w:tcPr>
          <w:tcW w:w="827" w:type="pct"/>
        </w:tcPr>
        <w:p w14:paraId="790AB7CC" w14:textId="77777777" w:rsidR="0064598F" w:rsidRDefault="0064598F">
          <w:pPr>
            <w:pStyle w:val="Encabezado"/>
            <w:rPr>
              <w:color w:val="92D050"/>
              <w:sz w:val="2"/>
              <w:szCs w:val="2"/>
            </w:rPr>
          </w:pPr>
        </w:p>
        <w:p w14:paraId="69B0CF54" w14:textId="77777777" w:rsidR="001E57CB" w:rsidRDefault="001E57CB" w:rsidP="001E57CB">
          <w:pPr>
            <w:rPr>
              <w:color w:val="92D050"/>
              <w:sz w:val="2"/>
              <w:szCs w:val="2"/>
            </w:rPr>
          </w:pPr>
        </w:p>
        <w:p w14:paraId="3047441A" w14:textId="77777777" w:rsidR="001E57CB" w:rsidRDefault="001E57CB" w:rsidP="001E57CB">
          <w:pPr>
            <w:rPr>
              <w:color w:val="92D050"/>
              <w:sz w:val="2"/>
              <w:szCs w:val="2"/>
            </w:rPr>
          </w:pPr>
        </w:p>
        <w:p w14:paraId="2BAD0058" w14:textId="77777777" w:rsidR="001E57CB" w:rsidRDefault="001E57CB" w:rsidP="001E57CB">
          <w:pPr>
            <w:rPr>
              <w:color w:val="92D050"/>
              <w:sz w:val="2"/>
              <w:szCs w:val="2"/>
            </w:rPr>
          </w:pPr>
        </w:p>
        <w:p w14:paraId="4280D309" w14:textId="26F2EBC3" w:rsidR="001E57CB" w:rsidRPr="001E57CB" w:rsidRDefault="001E57CB" w:rsidP="001E57CB">
          <w:pPr>
            <w:jc w:val="center"/>
          </w:pPr>
          <w:r>
            <w:rPr>
              <w:noProof/>
            </w:rPr>
            <w:drawing>
              <wp:inline distT="0" distB="0" distL="0" distR="0" wp14:anchorId="504B6FBB" wp14:editId="790A353E">
                <wp:extent cx="1909213" cy="671945"/>
                <wp:effectExtent l="0" t="0" r="0" b="0"/>
                <wp:docPr id="10025970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09213" cy="671945"/>
                        </a:xfrm>
                        <a:prstGeom prst="rect">
                          <a:avLst/>
                        </a:prstGeom>
                      </pic:spPr>
                    </pic:pic>
                  </a:graphicData>
                </a:graphic>
              </wp:inline>
            </w:drawing>
          </w:r>
        </w:p>
      </w:tc>
      <w:tc>
        <w:tcPr>
          <w:tcW w:w="4173" w:type="pct"/>
        </w:tcPr>
        <w:p w14:paraId="632CC5CD" w14:textId="77777777" w:rsidR="0064598F" w:rsidRPr="00783F72" w:rsidRDefault="0064598F" w:rsidP="000938B3">
          <w:pPr>
            <w:pStyle w:val="Encabezado"/>
            <w:ind w:left="86"/>
            <w:rPr>
              <w:b/>
              <w:color w:val="92D050"/>
            </w:rPr>
          </w:pPr>
        </w:p>
        <w:p w14:paraId="47AD38E4" w14:textId="77777777" w:rsidR="0064598F" w:rsidRPr="00202221" w:rsidRDefault="0064598F" w:rsidP="00D46855">
          <w:pPr>
            <w:pStyle w:val="Encabezado"/>
            <w:ind w:left="86"/>
            <w:rPr>
              <w:b/>
              <w:color w:val="92D050"/>
              <w:sz w:val="24"/>
              <w:szCs w:val="24"/>
              <w:lang w:val="es-ES"/>
            </w:rPr>
          </w:pPr>
          <w:r w:rsidRPr="00202221">
            <w:rPr>
              <w:b/>
              <w:color w:val="92D050"/>
              <w:sz w:val="24"/>
              <w:szCs w:val="24"/>
              <w:lang w:val="es-ES"/>
            </w:rPr>
            <w:t xml:space="preserve"> [País] Grupo de nutrición</w:t>
          </w:r>
        </w:p>
        <w:p w14:paraId="5B6C607D" w14:textId="77777777" w:rsidR="0064598F" w:rsidRPr="00202221" w:rsidRDefault="0064598F" w:rsidP="000F2F9E">
          <w:pPr>
            <w:pStyle w:val="Encabezado"/>
            <w:ind w:left="86"/>
            <w:rPr>
              <w:color w:val="92D050"/>
              <w:lang w:val="es-ES"/>
            </w:rPr>
          </w:pPr>
          <w:r w:rsidRPr="00202221">
            <w:rPr>
              <w:color w:val="92D050"/>
              <w:sz w:val="24"/>
              <w:szCs w:val="24"/>
              <w:lang w:val="es-ES"/>
            </w:rPr>
            <w:t>[https://www.humanitarianresponse.info/en/operations/country]</w:t>
          </w:r>
        </w:p>
      </w:tc>
    </w:tr>
  </w:tbl>
  <w:p w14:paraId="10EFA690" w14:textId="77777777" w:rsidR="0064598F" w:rsidRPr="00202221" w:rsidRDefault="0064598F" w:rsidP="00C47216">
    <w:pPr>
      <w:pStyle w:val="Encabezado"/>
      <w:rPr>
        <w:color w:val="92D050"/>
        <w:sz w:val="2"/>
        <w:szCs w:val="2"/>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BD1AF" w14:textId="77777777" w:rsidR="001E57CB" w:rsidRDefault="001E57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77D42"/>
    <w:multiLevelType w:val="multilevel"/>
    <w:tmpl w:val="3B74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B4E62"/>
    <w:multiLevelType w:val="multilevel"/>
    <w:tmpl w:val="7BC8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A1B3A"/>
    <w:multiLevelType w:val="multilevel"/>
    <w:tmpl w:val="8DBE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E7C0B"/>
    <w:multiLevelType w:val="multilevel"/>
    <w:tmpl w:val="18A0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030D2"/>
    <w:multiLevelType w:val="hybridMultilevel"/>
    <w:tmpl w:val="6848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60E3D"/>
    <w:multiLevelType w:val="multilevel"/>
    <w:tmpl w:val="D9E0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CE0C3E"/>
    <w:multiLevelType w:val="multilevel"/>
    <w:tmpl w:val="A78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C2EB2"/>
    <w:multiLevelType w:val="multilevel"/>
    <w:tmpl w:val="4E18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D1B83"/>
    <w:multiLevelType w:val="multilevel"/>
    <w:tmpl w:val="6DDA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217BE"/>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01EB8"/>
    <w:multiLevelType w:val="multilevel"/>
    <w:tmpl w:val="842C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72D4C"/>
    <w:multiLevelType w:val="multilevel"/>
    <w:tmpl w:val="01CE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3A4487"/>
    <w:multiLevelType w:val="multilevel"/>
    <w:tmpl w:val="3DBE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677EA"/>
    <w:multiLevelType w:val="multilevel"/>
    <w:tmpl w:val="3684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0542F"/>
    <w:multiLevelType w:val="multilevel"/>
    <w:tmpl w:val="9ED2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FB5213"/>
    <w:multiLevelType w:val="multilevel"/>
    <w:tmpl w:val="B5EA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11423B"/>
    <w:multiLevelType w:val="multilevel"/>
    <w:tmpl w:val="464A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66BA27BB"/>
    <w:multiLevelType w:val="hybridMultilevel"/>
    <w:tmpl w:val="ECE6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F1449"/>
    <w:multiLevelType w:val="multilevel"/>
    <w:tmpl w:val="B022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311E6C"/>
    <w:multiLevelType w:val="multilevel"/>
    <w:tmpl w:val="7A40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E7ABC"/>
    <w:multiLevelType w:val="multilevel"/>
    <w:tmpl w:val="C54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22"/>
  </w:num>
  <w:num w:numId="4">
    <w:abstractNumId w:val="29"/>
  </w:num>
  <w:num w:numId="5">
    <w:abstractNumId w:val="10"/>
  </w:num>
  <w:num w:numId="6">
    <w:abstractNumId w:val="26"/>
  </w:num>
  <w:num w:numId="7">
    <w:abstractNumId w:val="30"/>
  </w:num>
  <w:num w:numId="8">
    <w:abstractNumId w:val="14"/>
  </w:num>
  <w:num w:numId="9">
    <w:abstractNumId w:val="6"/>
  </w:num>
  <w:num w:numId="10">
    <w:abstractNumId w:val="19"/>
  </w:num>
  <w:num w:numId="11">
    <w:abstractNumId w:val="28"/>
  </w:num>
  <w:num w:numId="12">
    <w:abstractNumId w:val="5"/>
  </w:num>
  <w:num w:numId="13">
    <w:abstractNumId w:val="0"/>
  </w:num>
  <w:num w:numId="14">
    <w:abstractNumId w:val="4"/>
  </w:num>
  <w:num w:numId="15">
    <w:abstractNumId w:val="12"/>
  </w:num>
  <w:num w:numId="16">
    <w:abstractNumId w:val="33"/>
  </w:num>
  <w:num w:numId="17">
    <w:abstractNumId w:val="8"/>
  </w:num>
  <w:num w:numId="18">
    <w:abstractNumId w:val="27"/>
  </w:num>
  <w:num w:numId="19">
    <w:abstractNumId w:val="9"/>
  </w:num>
  <w:num w:numId="20">
    <w:abstractNumId w:val="11"/>
  </w:num>
  <w:num w:numId="21">
    <w:abstractNumId w:val="23"/>
  </w:num>
  <w:num w:numId="22">
    <w:abstractNumId w:val="25"/>
  </w:num>
  <w:num w:numId="23">
    <w:abstractNumId w:val="21"/>
  </w:num>
  <w:num w:numId="24">
    <w:abstractNumId w:val="31"/>
  </w:num>
  <w:num w:numId="25">
    <w:abstractNumId w:val="15"/>
  </w:num>
  <w:num w:numId="26">
    <w:abstractNumId w:val="20"/>
  </w:num>
  <w:num w:numId="27">
    <w:abstractNumId w:val="3"/>
  </w:num>
  <w:num w:numId="28">
    <w:abstractNumId w:val="32"/>
  </w:num>
  <w:num w:numId="29">
    <w:abstractNumId w:val="18"/>
  </w:num>
  <w:num w:numId="30">
    <w:abstractNumId w:val="17"/>
  </w:num>
  <w:num w:numId="31">
    <w:abstractNumId w:val="7"/>
  </w:num>
  <w:num w:numId="32">
    <w:abstractNumId w:val="1"/>
  </w:num>
  <w:num w:numId="33">
    <w:abstractNumId w:val="2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MTExsDAwNjUzMrJQ0lEKTi0uzszPAykwqQUACrxooywAAAA="/>
  </w:docVars>
  <w:rsids>
    <w:rsidRoot w:val="00F54A32"/>
    <w:rsid w:val="0000320F"/>
    <w:rsid w:val="00011857"/>
    <w:rsid w:val="0004715D"/>
    <w:rsid w:val="0004762D"/>
    <w:rsid w:val="00060165"/>
    <w:rsid w:val="00062BD0"/>
    <w:rsid w:val="00064ECD"/>
    <w:rsid w:val="0006584F"/>
    <w:rsid w:val="0007545C"/>
    <w:rsid w:val="00087635"/>
    <w:rsid w:val="000938B3"/>
    <w:rsid w:val="000A357F"/>
    <w:rsid w:val="000B501B"/>
    <w:rsid w:val="000C24F2"/>
    <w:rsid w:val="000D24C8"/>
    <w:rsid w:val="000E4654"/>
    <w:rsid w:val="000F2F9E"/>
    <w:rsid w:val="000F4F2F"/>
    <w:rsid w:val="00105393"/>
    <w:rsid w:val="0010563D"/>
    <w:rsid w:val="001101BF"/>
    <w:rsid w:val="00114BEB"/>
    <w:rsid w:val="00121FA4"/>
    <w:rsid w:val="00122101"/>
    <w:rsid w:val="00136D30"/>
    <w:rsid w:val="001B130B"/>
    <w:rsid w:val="001C131C"/>
    <w:rsid w:val="001C2285"/>
    <w:rsid w:val="001C4996"/>
    <w:rsid w:val="001D03AB"/>
    <w:rsid w:val="001E57CB"/>
    <w:rsid w:val="00202221"/>
    <w:rsid w:val="00217322"/>
    <w:rsid w:val="002333C4"/>
    <w:rsid w:val="002361A4"/>
    <w:rsid w:val="00252006"/>
    <w:rsid w:val="0025228D"/>
    <w:rsid w:val="00254E4D"/>
    <w:rsid w:val="00281B94"/>
    <w:rsid w:val="002C3FDA"/>
    <w:rsid w:val="002C676F"/>
    <w:rsid w:val="002F6057"/>
    <w:rsid w:val="00307295"/>
    <w:rsid w:val="00310EAE"/>
    <w:rsid w:val="00323946"/>
    <w:rsid w:val="0033748A"/>
    <w:rsid w:val="0037340C"/>
    <w:rsid w:val="003977F9"/>
    <w:rsid w:val="003A379C"/>
    <w:rsid w:val="003A4449"/>
    <w:rsid w:val="003C5BDA"/>
    <w:rsid w:val="003D54BA"/>
    <w:rsid w:val="003E28BC"/>
    <w:rsid w:val="003F33F7"/>
    <w:rsid w:val="003F74C3"/>
    <w:rsid w:val="0040300A"/>
    <w:rsid w:val="0041096E"/>
    <w:rsid w:val="004128CF"/>
    <w:rsid w:val="00423EE0"/>
    <w:rsid w:val="00444659"/>
    <w:rsid w:val="00461BAC"/>
    <w:rsid w:val="00471241"/>
    <w:rsid w:val="00497EFE"/>
    <w:rsid w:val="004A2873"/>
    <w:rsid w:val="004B123B"/>
    <w:rsid w:val="004B66E2"/>
    <w:rsid w:val="004B6D85"/>
    <w:rsid w:val="004E7A7D"/>
    <w:rsid w:val="004F7425"/>
    <w:rsid w:val="0050529B"/>
    <w:rsid w:val="00516CEB"/>
    <w:rsid w:val="0053340C"/>
    <w:rsid w:val="00554338"/>
    <w:rsid w:val="005914B8"/>
    <w:rsid w:val="005A10CE"/>
    <w:rsid w:val="005B51BE"/>
    <w:rsid w:val="005C1846"/>
    <w:rsid w:val="005E6B22"/>
    <w:rsid w:val="005F0C51"/>
    <w:rsid w:val="005F66C3"/>
    <w:rsid w:val="00605E0C"/>
    <w:rsid w:val="00640932"/>
    <w:rsid w:val="006418D2"/>
    <w:rsid w:val="0064598F"/>
    <w:rsid w:val="00680C25"/>
    <w:rsid w:val="00690D32"/>
    <w:rsid w:val="00695C3F"/>
    <w:rsid w:val="006A1C11"/>
    <w:rsid w:val="006A4837"/>
    <w:rsid w:val="006B1009"/>
    <w:rsid w:val="006B2A61"/>
    <w:rsid w:val="006C483B"/>
    <w:rsid w:val="006D149A"/>
    <w:rsid w:val="006D3867"/>
    <w:rsid w:val="006D6400"/>
    <w:rsid w:val="006E7E5B"/>
    <w:rsid w:val="006F2A1D"/>
    <w:rsid w:val="006F613F"/>
    <w:rsid w:val="006F6BA3"/>
    <w:rsid w:val="00704051"/>
    <w:rsid w:val="00717BEF"/>
    <w:rsid w:val="00731345"/>
    <w:rsid w:val="00783F72"/>
    <w:rsid w:val="00786697"/>
    <w:rsid w:val="007F58A4"/>
    <w:rsid w:val="008054B4"/>
    <w:rsid w:val="00806FC2"/>
    <w:rsid w:val="00813586"/>
    <w:rsid w:val="008355FA"/>
    <w:rsid w:val="0084572A"/>
    <w:rsid w:val="00846898"/>
    <w:rsid w:val="0085136C"/>
    <w:rsid w:val="008520C0"/>
    <w:rsid w:val="0085768F"/>
    <w:rsid w:val="0087711E"/>
    <w:rsid w:val="00897115"/>
    <w:rsid w:val="008A6440"/>
    <w:rsid w:val="008B367A"/>
    <w:rsid w:val="008F10E0"/>
    <w:rsid w:val="008F408F"/>
    <w:rsid w:val="00904A45"/>
    <w:rsid w:val="00925AAB"/>
    <w:rsid w:val="009525DA"/>
    <w:rsid w:val="00955D0B"/>
    <w:rsid w:val="00992BD7"/>
    <w:rsid w:val="009957AD"/>
    <w:rsid w:val="009A11D6"/>
    <w:rsid w:val="009A3CA1"/>
    <w:rsid w:val="009E5BD7"/>
    <w:rsid w:val="00A060FE"/>
    <w:rsid w:val="00A073C0"/>
    <w:rsid w:val="00A417DE"/>
    <w:rsid w:val="00A441C6"/>
    <w:rsid w:val="00A45289"/>
    <w:rsid w:val="00A53001"/>
    <w:rsid w:val="00A57B72"/>
    <w:rsid w:val="00A70E9A"/>
    <w:rsid w:val="00A71F62"/>
    <w:rsid w:val="00AA4685"/>
    <w:rsid w:val="00AC76E3"/>
    <w:rsid w:val="00B078C3"/>
    <w:rsid w:val="00B20DDF"/>
    <w:rsid w:val="00B416FC"/>
    <w:rsid w:val="00B4546C"/>
    <w:rsid w:val="00B45BA9"/>
    <w:rsid w:val="00B565EF"/>
    <w:rsid w:val="00B7666E"/>
    <w:rsid w:val="00B964E0"/>
    <w:rsid w:val="00BB1BE5"/>
    <w:rsid w:val="00BB228D"/>
    <w:rsid w:val="00BB6AE6"/>
    <w:rsid w:val="00BE06E7"/>
    <w:rsid w:val="00BF6A2A"/>
    <w:rsid w:val="00C01BC9"/>
    <w:rsid w:val="00C034B3"/>
    <w:rsid w:val="00C45CB7"/>
    <w:rsid w:val="00C47216"/>
    <w:rsid w:val="00C52E82"/>
    <w:rsid w:val="00C64996"/>
    <w:rsid w:val="00C65C92"/>
    <w:rsid w:val="00C7603C"/>
    <w:rsid w:val="00CA55B3"/>
    <w:rsid w:val="00CC21D5"/>
    <w:rsid w:val="00CE1870"/>
    <w:rsid w:val="00CE6F21"/>
    <w:rsid w:val="00CF1BBC"/>
    <w:rsid w:val="00D11543"/>
    <w:rsid w:val="00D31211"/>
    <w:rsid w:val="00D4143E"/>
    <w:rsid w:val="00D46855"/>
    <w:rsid w:val="00D51FA0"/>
    <w:rsid w:val="00D9132D"/>
    <w:rsid w:val="00D963BB"/>
    <w:rsid w:val="00DC682F"/>
    <w:rsid w:val="00DD6CD4"/>
    <w:rsid w:val="00E01947"/>
    <w:rsid w:val="00E02526"/>
    <w:rsid w:val="00E03464"/>
    <w:rsid w:val="00E053B8"/>
    <w:rsid w:val="00E2412D"/>
    <w:rsid w:val="00E40013"/>
    <w:rsid w:val="00E411E8"/>
    <w:rsid w:val="00E42D6D"/>
    <w:rsid w:val="00E77608"/>
    <w:rsid w:val="00E91352"/>
    <w:rsid w:val="00EA2AAA"/>
    <w:rsid w:val="00EA2E59"/>
    <w:rsid w:val="00EA4BC5"/>
    <w:rsid w:val="00F16C73"/>
    <w:rsid w:val="00F222AF"/>
    <w:rsid w:val="00F50542"/>
    <w:rsid w:val="00F517D9"/>
    <w:rsid w:val="00F54A32"/>
    <w:rsid w:val="00F57855"/>
    <w:rsid w:val="00F60ABC"/>
    <w:rsid w:val="00F7308C"/>
    <w:rsid w:val="00F82953"/>
    <w:rsid w:val="00F879DB"/>
    <w:rsid w:val="00FA25C4"/>
    <w:rsid w:val="00FA29F6"/>
    <w:rsid w:val="00FE02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3485"/>
  <w15:docId w15:val="{DAF8B58B-D76D-4AD4-8C6B-B548E1D9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3F"/>
    <w:rPr>
      <w:lang w:val="en-US"/>
    </w:rPr>
  </w:style>
  <w:style w:type="paragraph" w:styleId="Ttulo1">
    <w:name w:val="heading 1"/>
    <w:basedOn w:val="Normal"/>
    <w:link w:val="Ttulo1Car"/>
    <w:uiPriority w:val="9"/>
    <w:qFormat/>
    <w:rsid w:val="00D31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E5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8B3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A3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54A32"/>
  </w:style>
  <w:style w:type="paragraph" w:styleId="Piedepgina">
    <w:name w:val="footer"/>
    <w:basedOn w:val="Normal"/>
    <w:link w:val="PiedepginaCar"/>
    <w:uiPriority w:val="99"/>
    <w:unhideWhenUsed/>
    <w:rsid w:val="00F54A3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54A32"/>
  </w:style>
  <w:style w:type="paragraph" w:styleId="Textodeglobo">
    <w:name w:val="Balloon Text"/>
    <w:basedOn w:val="Normal"/>
    <w:link w:val="TextodegloboCar"/>
    <w:uiPriority w:val="99"/>
    <w:semiHidden/>
    <w:unhideWhenUsed/>
    <w:rsid w:val="00F54A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A32"/>
    <w:rPr>
      <w:rFonts w:ascii="Tahoma" w:hAnsi="Tahoma" w:cs="Tahoma"/>
      <w:sz w:val="16"/>
      <w:szCs w:val="16"/>
    </w:rPr>
  </w:style>
  <w:style w:type="table" w:styleId="Tablaconcuadrcula">
    <w:name w:val="Table Grid"/>
    <w:basedOn w:val="Tabla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Prrafodelista">
    <w:name w:val="List Paragraph"/>
    <w:basedOn w:val="Normal"/>
    <w:uiPriority w:val="34"/>
    <w:qFormat/>
    <w:rsid w:val="001B130B"/>
    <w:pPr>
      <w:ind w:left="720"/>
      <w:contextualSpacing/>
    </w:pPr>
  </w:style>
  <w:style w:type="character" w:styleId="Hipervnculo">
    <w:name w:val="Hyperlink"/>
    <w:basedOn w:val="Fuentedeprrafopredeter"/>
    <w:uiPriority w:val="99"/>
    <w:unhideWhenUsed/>
    <w:rsid w:val="0010563D"/>
    <w:rPr>
      <w:color w:val="0000FF" w:themeColor="hyperlink"/>
      <w:u w:val="single"/>
    </w:rPr>
  </w:style>
  <w:style w:type="character" w:styleId="Hipervnculovisitado">
    <w:name w:val="FollowedHyperlink"/>
    <w:basedOn w:val="Fuentedeprrafopredeter"/>
    <w:uiPriority w:val="99"/>
    <w:semiHidden/>
    <w:unhideWhenUsed/>
    <w:rsid w:val="00122101"/>
    <w:rPr>
      <w:color w:val="800080" w:themeColor="followedHyperlink"/>
      <w:u w:val="single"/>
    </w:rPr>
  </w:style>
  <w:style w:type="character" w:styleId="Refdecomentario">
    <w:name w:val="annotation reference"/>
    <w:basedOn w:val="Fuentedeprrafopredeter"/>
    <w:uiPriority w:val="99"/>
    <w:semiHidden/>
    <w:unhideWhenUsed/>
    <w:rsid w:val="00F7308C"/>
    <w:rPr>
      <w:sz w:val="16"/>
      <w:szCs w:val="16"/>
    </w:rPr>
  </w:style>
  <w:style w:type="paragraph" w:styleId="Textocomentario">
    <w:name w:val="annotation text"/>
    <w:basedOn w:val="Normal"/>
    <w:link w:val="TextocomentarioCar"/>
    <w:uiPriority w:val="99"/>
    <w:semiHidden/>
    <w:unhideWhenUsed/>
    <w:rsid w:val="00F730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308C"/>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F7308C"/>
    <w:rPr>
      <w:b/>
      <w:bCs/>
    </w:rPr>
  </w:style>
  <w:style w:type="character" w:customStyle="1" w:styleId="AsuntodelcomentarioCar">
    <w:name w:val="Asunto del comentario Car"/>
    <w:basedOn w:val="TextocomentarioCar"/>
    <w:link w:val="Asuntodelcomentario"/>
    <w:uiPriority w:val="99"/>
    <w:semiHidden/>
    <w:rsid w:val="00F7308C"/>
    <w:rPr>
      <w:b/>
      <w:bCs/>
      <w:sz w:val="20"/>
      <w:szCs w:val="20"/>
      <w:lang w:val="en-US"/>
    </w:rPr>
  </w:style>
  <w:style w:type="character" w:customStyle="1" w:styleId="Ttulo2Car">
    <w:name w:val="Título 2 Car"/>
    <w:basedOn w:val="Fuentedeprrafopredeter"/>
    <w:link w:val="Ttulo2"/>
    <w:uiPriority w:val="9"/>
    <w:rsid w:val="0064598F"/>
    <w:rPr>
      <w:rFonts w:asciiTheme="majorHAnsi" w:eastAsiaTheme="majorEastAsia" w:hAnsiTheme="majorHAnsi" w:cstheme="majorBidi"/>
      <w:b/>
      <w:bCs/>
      <w:color w:val="4F81BD" w:themeColor="accent1"/>
      <w:sz w:val="26"/>
      <w:szCs w:val="26"/>
      <w:lang w:val="en-US"/>
    </w:rPr>
  </w:style>
  <w:style w:type="paragraph" w:styleId="Sinespaciado">
    <w:name w:val="No Spacing"/>
    <w:link w:val="SinespaciadoCar"/>
    <w:uiPriority w:val="1"/>
    <w:qFormat/>
    <w:rsid w:val="0064598F"/>
    <w:pPr>
      <w:spacing w:after="0" w:line="240" w:lineRule="auto"/>
    </w:pPr>
  </w:style>
  <w:style w:type="character" w:customStyle="1" w:styleId="SinespaciadoCar">
    <w:name w:val="Sin espaciado Car"/>
    <w:basedOn w:val="Fuentedeprrafopredeter"/>
    <w:link w:val="Sinespaciado"/>
    <w:uiPriority w:val="1"/>
    <w:rsid w:val="0064598F"/>
  </w:style>
  <w:style w:type="paragraph" w:styleId="Revisin">
    <w:name w:val="Revision"/>
    <w:hidden/>
    <w:uiPriority w:val="99"/>
    <w:semiHidden/>
    <w:rsid w:val="00E2412D"/>
    <w:pPr>
      <w:spacing w:after="0" w:line="240" w:lineRule="auto"/>
    </w:pPr>
    <w:rPr>
      <w:lang w:val="en-US"/>
    </w:rPr>
  </w:style>
  <w:style w:type="character" w:customStyle="1" w:styleId="Ttulo1Car">
    <w:name w:val="Título 1 Car"/>
    <w:basedOn w:val="Fuentedeprrafopredeter"/>
    <w:link w:val="Ttulo1"/>
    <w:uiPriority w:val="9"/>
    <w:rsid w:val="00D31211"/>
    <w:rPr>
      <w:rFonts w:ascii="Times New Roman" w:eastAsia="Times New Roman" w:hAnsi="Times New Roman" w:cs="Times New Roman"/>
      <w:b/>
      <w:bCs/>
      <w:kern w:val="36"/>
      <w:sz w:val="48"/>
      <w:szCs w:val="48"/>
      <w:lang w:val="en-US"/>
    </w:rPr>
  </w:style>
  <w:style w:type="character" w:customStyle="1" w:styleId="UnresolvedMention1">
    <w:name w:val="Unresolved Mention1"/>
    <w:basedOn w:val="Fuentedeprrafopredeter"/>
    <w:uiPriority w:val="99"/>
    <w:semiHidden/>
    <w:unhideWhenUsed/>
    <w:rsid w:val="00011857"/>
    <w:rPr>
      <w:color w:val="808080"/>
      <w:shd w:val="clear" w:color="auto" w:fill="E6E6E6"/>
    </w:rPr>
  </w:style>
  <w:style w:type="character" w:customStyle="1" w:styleId="Ttulo5Car">
    <w:name w:val="Título 5 Car"/>
    <w:basedOn w:val="Fuentedeprrafopredeter"/>
    <w:link w:val="Ttulo5"/>
    <w:uiPriority w:val="9"/>
    <w:semiHidden/>
    <w:rsid w:val="008B367A"/>
    <w:rPr>
      <w:rFonts w:asciiTheme="majorHAnsi" w:eastAsiaTheme="majorEastAsia" w:hAnsiTheme="majorHAnsi" w:cstheme="majorBidi"/>
      <w:color w:val="243F60" w:themeColor="accent1" w:themeShade="7F"/>
      <w:lang w:val="en-US"/>
    </w:rPr>
  </w:style>
  <w:style w:type="character" w:customStyle="1" w:styleId="linkinfo">
    <w:name w:val="link_info"/>
    <w:basedOn w:val="Fuentedeprrafopredeter"/>
    <w:rsid w:val="008B367A"/>
  </w:style>
  <w:style w:type="paragraph" w:styleId="Textonotapie">
    <w:name w:val="footnote text"/>
    <w:basedOn w:val="Normal"/>
    <w:link w:val="TextonotapieCar"/>
    <w:uiPriority w:val="99"/>
    <w:semiHidden/>
    <w:unhideWhenUsed/>
    <w:rsid w:val="000A35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357F"/>
    <w:rPr>
      <w:sz w:val="20"/>
      <w:szCs w:val="20"/>
      <w:lang w:val="en-US"/>
    </w:rPr>
  </w:style>
  <w:style w:type="character" w:styleId="Refdenotaalpie">
    <w:name w:val="footnote reference"/>
    <w:basedOn w:val="Fuentedeprrafopredeter"/>
    <w:uiPriority w:val="99"/>
    <w:semiHidden/>
    <w:unhideWhenUsed/>
    <w:rsid w:val="000A357F"/>
    <w:rPr>
      <w:vertAlign w:val="superscript"/>
    </w:rPr>
  </w:style>
  <w:style w:type="character" w:styleId="Mencinsinresolver">
    <w:name w:val="Unresolved Mention"/>
    <w:basedOn w:val="Fuentedeprrafopredeter"/>
    <w:uiPriority w:val="99"/>
    <w:semiHidden/>
    <w:unhideWhenUsed/>
    <w:rsid w:val="00114BEB"/>
    <w:rPr>
      <w:color w:val="605E5C"/>
      <w:shd w:val="clear" w:color="auto" w:fill="E1DFDD"/>
    </w:rPr>
  </w:style>
  <w:style w:type="paragraph" w:styleId="NormalWeb">
    <w:name w:val="Normal (Web)"/>
    <w:basedOn w:val="Normal"/>
    <w:uiPriority w:val="99"/>
    <w:semiHidden/>
    <w:unhideWhenUsed/>
    <w:rsid w:val="00B20DDF"/>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B20DDF"/>
    <w:rPr>
      <w:i/>
      <w:iCs/>
    </w:rPr>
  </w:style>
  <w:style w:type="character" w:customStyle="1" w:styleId="Ttulo3Car">
    <w:name w:val="Título 3 Car"/>
    <w:basedOn w:val="Fuentedeprrafopredeter"/>
    <w:link w:val="Ttulo3"/>
    <w:uiPriority w:val="9"/>
    <w:semiHidden/>
    <w:rsid w:val="009E5BD7"/>
    <w:rPr>
      <w:rFonts w:asciiTheme="majorHAnsi" w:eastAsiaTheme="majorEastAsia" w:hAnsiTheme="majorHAnsi" w:cstheme="majorBidi"/>
      <w:color w:val="243F60" w:themeColor="accent1" w:themeShade="7F"/>
      <w:sz w:val="24"/>
      <w:szCs w:val="24"/>
      <w:lang w:val="en-US"/>
    </w:rPr>
  </w:style>
  <w:style w:type="paragraph" w:customStyle="1" w:styleId="last">
    <w:name w:val="last"/>
    <w:basedOn w:val="Normal"/>
    <w:rsid w:val="009E5B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1429">
      <w:bodyDiv w:val="1"/>
      <w:marLeft w:val="0"/>
      <w:marRight w:val="0"/>
      <w:marTop w:val="0"/>
      <w:marBottom w:val="0"/>
      <w:divBdr>
        <w:top w:val="none" w:sz="0" w:space="0" w:color="auto"/>
        <w:left w:val="none" w:sz="0" w:space="0" w:color="auto"/>
        <w:bottom w:val="none" w:sz="0" w:space="0" w:color="auto"/>
        <w:right w:val="none" w:sz="0" w:space="0" w:color="auto"/>
      </w:divBdr>
    </w:div>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495410">
      <w:bodyDiv w:val="1"/>
      <w:marLeft w:val="0"/>
      <w:marRight w:val="0"/>
      <w:marTop w:val="0"/>
      <w:marBottom w:val="0"/>
      <w:divBdr>
        <w:top w:val="none" w:sz="0" w:space="0" w:color="auto"/>
        <w:left w:val="none" w:sz="0" w:space="0" w:color="auto"/>
        <w:bottom w:val="none" w:sz="0" w:space="0" w:color="auto"/>
        <w:right w:val="none" w:sz="0" w:space="0" w:color="auto"/>
      </w:divBdr>
    </w:div>
    <w:div w:id="573203734">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 w:id="890726968">
      <w:bodyDiv w:val="1"/>
      <w:marLeft w:val="0"/>
      <w:marRight w:val="0"/>
      <w:marTop w:val="0"/>
      <w:marBottom w:val="0"/>
      <w:divBdr>
        <w:top w:val="none" w:sz="0" w:space="0" w:color="auto"/>
        <w:left w:val="none" w:sz="0" w:space="0" w:color="auto"/>
        <w:bottom w:val="none" w:sz="0" w:space="0" w:color="auto"/>
        <w:right w:val="none" w:sz="0" w:space="0" w:color="auto"/>
      </w:divBdr>
    </w:div>
    <w:div w:id="199224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ho.int/elena/titles/iron-children-6to23-malaria/en/" TargetMode="External"/><Relationship Id="rId21" Type="http://schemas.openxmlformats.org/officeDocument/2006/relationships/hyperlink" Target="https://www.who.int/elena/titles/daily_iron_pregnancy_malaria/en/" TargetMode="External"/><Relationship Id="rId42" Type="http://schemas.openxmlformats.org/officeDocument/2006/relationships/hyperlink" Target="https://www.who.int/elena/titles/vitamina_pregnancy/en/" TargetMode="External"/><Relationship Id="rId47" Type="http://schemas.openxmlformats.org/officeDocument/2006/relationships/hyperlink" Target="https://www.who.int/elena/titles/vitamina_hiv_pregnancy/en/" TargetMode="External"/><Relationship Id="rId63" Type="http://schemas.openxmlformats.org/officeDocument/2006/relationships/hyperlink" Target="https://www.who.int/elena/titles/biofortification/en/" TargetMode="External"/><Relationship Id="rId68" Type="http://schemas.openxmlformats.org/officeDocument/2006/relationships/hyperlink" Target="https://www.who.int/elena/titles/micronutrients_hiv_pregnancy/en/" TargetMode="External"/><Relationship Id="rId16" Type="http://schemas.openxmlformats.org/officeDocument/2006/relationships/hyperlink" Target="https://www.who.int/elena/titles/iron_postpartum/en/" TargetMode="External"/><Relationship Id="rId11" Type="http://schemas.openxmlformats.org/officeDocument/2006/relationships/hyperlink" Target="https://www.who.int/elena/titles/daily_iron_pregnancy_malaria/en/" TargetMode="External"/><Relationship Id="rId32" Type="http://schemas.openxmlformats.org/officeDocument/2006/relationships/hyperlink" Target="https://www.who.int/elena/titles/iron_women_malaria/en/" TargetMode="External"/><Relationship Id="rId37" Type="http://schemas.openxmlformats.org/officeDocument/2006/relationships/hyperlink" Target="https://www.who.int/elena/titles/potassium_bp_children/en/" TargetMode="External"/><Relationship Id="rId53" Type="http://schemas.openxmlformats.org/officeDocument/2006/relationships/hyperlink" Target="https://www.who.int/elena/titles/vitaminsec-pregnancy/en/" TargetMode="External"/><Relationship Id="rId58" Type="http://schemas.openxmlformats.org/officeDocument/2006/relationships/hyperlink" Target="https://www.who.int/elena/titles/vitamine_preterm/en/" TargetMode="External"/><Relationship Id="rId74" Type="http://schemas.openxmlformats.org/officeDocument/2006/relationships/hyperlink" Target="https://www.who.int/elena/titles/micronutrients_pregnancy/en/"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who.int/elena/titles/zinc_pneumonia_children/en/" TargetMode="External"/><Relationship Id="rId82" Type="http://schemas.openxmlformats.org/officeDocument/2006/relationships/theme" Target="theme/theme1.xml"/><Relationship Id="rId19" Type="http://schemas.openxmlformats.org/officeDocument/2006/relationships/hyperlink" Target="https://www.who.int/elena/titles/salt_iodization/en/" TargetMode="External"/><Relationship Id="rId14" Type="http://schemas.openxmlformats.org/officeDocument/2006/relationships/hyperlink" Target="https://www.who.int/elena/titles/iron_women/en/" TargetMode="External"/><Relationship Id="rId22" Type="http://schemas.openxmlformats.org/officeDocument/2006/relationships/hyperlink" Target="https://www.who.int/elena/titles/daily_iron_women/en/" TargetMode="External"/><Relationship Id="rId27" Type="http://schemas.openxmlformats.org/officeDocument/2006/relationships/hyperlink" Target="https://www.who.int/elena/titles/iron-children-5to12/en/" TargetMode="External"/><Relationship Id="rId30" Type="http://schemas.openxmlformats.org/officeDocument/2006/relationships/hyperlink" Target="https://www.who.int/elena/titles/intermittent_iron_pregnancy_malaria/en/" TargetMode="External"/><Relationship Id="rId35" Type="http://schemas.openxmlformats.org/officeDocument/2006/relationships/hyperlink" Target="https://www.who.int/elena/titles/iron_postpartum/en/" TargetMode="External"/><Relationship Id="rId43" Type="http://schemas.openxmlformats.org/officeDocument/2006/relationships/hyperlink" Target="https://www.who.int/elena/titles/vitamina_sam/en/" TargetMode="External"/><Relationship Id="rId48" Type="http://schemas.openxmlformats.org/officeDocument/2006/relationships/hyperlink" Target="https://www.who.int/elena/titles/vitamina_infants/en/" TargetMode="External"/><Relationship Id="rId56" Type="http://schemas.openxmlformats.org/officeDocument/2006/relationships/hyperlink" Target="https://www.who.int/elena/titles/vitamind_infants/en/" TargetMode="External"/><Relationship Id="rId64" Type="http://schemas.openxmlformats.org/officeDocument/2006/relationships/hyperlink" Target="https://www.who.int/elena/titles/maize-fortification/en/" TargetMode="External"/><Relationship Id="rId69" Type="http://schemas.openxmlformats.org/officeDocument/2006/relationships/hyperlink" Target="https://www.who.int/elena/titles/micronutrients_tuberculosis/en/" TargetMode="External"/><Relationship Id="rId77" Type="http://schemas.openxmlformats.org/officeDocument/2006/relationships/footer" Target="footer1.xml"/><Relationship Id="rId8" Type="http://schemas.openxmlformats.org/officeDocument/2006/relationships/hyperlink" Target="http://nutritioncluster.net/wp-content/uploads/sites/4/2015/11/16062_HRtips_layout_v06_RC_www.pdf" TargetMode="External"/><Relationship Id="rId51" Type="http://schemas.openxmlformats.org/officeDocument/2006/relationships/hyperlink" Target="https://www.who.int/elena/titles/vitamina_postpartum/en/" TargetMode="External"/><Relationship Id="rId72" Type="http://schemas.openxmlformats.org/officeDocument/2006/relationships/hyperlink" Target="https://www.who.int/elena/titles/micronutrientpowder_infants/en/"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who.int/elena/titles/intermittent_iron_pregnancy/en/" TargetMode="External"/><Relationship Id="rId17" Type="http://schemas.openxmlformats.org/officeDocument/2006/relationships/hyperlink" Target="https://www.who.int/elena/titles/iron_postpartum_malaria/en/" TargetMode="External"/><Relationship Id="rId25" Type="http://schemas.openxmlformats.org/officeDocument/2006/relationships/hyperlink" Target="https://www.who.int/elena/titles/iron-children-6to23/en/" TargetMode="External"/><Relationship Id="rId33" Type="http://schemas.openxmlformats.org/officeDocument/2006/relationships/hyperlink" Target="https://www.who.int/elena/titles/iron-intermittent-children/en/" TargetMode="External"/><Relationship Id="rId38" Type="http://schemas.openxmlformats.org/officeDocument/2006/relationships/hyperlink" Target="https://www.who.int/elena/titles/potassium_cvd_adults/en/" TargetMode="External"/><Relationship Id="rId46" Type="http://schemas.openxmlformats.org/officeDocument/2006/relationships/hyperlink" Target="https://www.who.int/elena/titles/vitamina_children_hiv/en/" TargetMode="External"/><Relationship Id="rId59" Type="http://schemas.openxmlformats.org/officeDocument/2006/relationships/hyperlink" Target="https://www.who.int/elena/titles/zinc_stunting/en/" TargetMode="External"/><Relationship Id="rId67" Type="http://schemas.openxmlformats.org/officeDocument/2006/relationships/hyperlink" Target="https://www.who.int/elena/titles/micronutrients_sam/en/" TargetMode="External"/><Relationship Id="rId20" Type="http://schemas.openxmlformats.org/officeDocument/2006/relationships/hyperlink" Target="https://www.who.int/elena/titles/daily_iron_pregnancy/en/" TargetMode="External"/><Relationship Id="rId41" Type="http://schemas.openxmlformats.org/officeDocument/2006/relationships/hyperlink" Target="https://www.who.int/elena/titles/sodium_cvd_adults/en/" TargetMode="External"/><Relationship Id="rId54" Type="http://schemas.openxmlformats.org/officeDocument/2006/relationships/hyperlink" Target="https://www.who.int/elena/titles/vitamind_pneumonia_children/en/" TargetMode="External"/><Relationship Id="rId62" Type="http://schemas.openxmlformats.org/officeDocument/2006/relationships/hyperlink" Target="https://www.who.int/elena/titles/zinc_diarrhoea/en/" TargetMode="External"/><Relationship Id="rId70" Type="http://schemas.openxmlformats.org/officeDocument/2006/relationships/hyperlink" Target="https://www.who.int/elena/titles/supplementation_lbw_infants/en/"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ho.int/elena/titles/iron_women_malaria/en/" TargetMode="External"/><Relationship Id="rId23" Type="http://schemas.openxmlformats.org/officeDocument/2006/relationships/hyperlink" Target="https://www.who.int/elena/titles/iron-children-24to59/en/" TargetMode="External"/><Relationship Id="rId28" Type="http://schemas.openxmlformats.org/officeDocument/2006/relationships/hyperlink" Target="https://www.who.int/elena/titles/iron-children-5to12-malaria/en/" TargetMode="External"/><Relationship Id="rId36" Type="http://schemas.openxmlformats.org/officeDocument/2006/relationships/hyperlink" Target="https://www.who.int/elena/titles/iron_postpartum_malaria/en/" TargetMode="External"/><Relationship Id="rId49" Type="http://schemas.openxmlformats.org/officeDocument/2006/relationships/hyperlink" Target="https://www.who.int/elena/titles/vitamina_children/en/" TargetMode="External"/><Relationship Id="rId57" Type="http://schemas.openxmlformats.org/officeDocument/2006/relationships/hyperlink" Target="https://www.who.int/elena/titles/vitaminsec-pregnancy/en/" TargetMode="External"/><Relationship Id="rId10" Type="http://schemas.openxmlformats.org/officeDocument/2006/relationships/hyperlink" Target="https://www.who.int/elena/titles/daily_iron_pregnancy/en/" TargetMode="External"/><Relationship Id="rId31" Type="http://schemas.openxmlformats.org/officeDocument/2006/relationships/hyperlink" Target="https://www.who.int/elena/titles/iron_women/en/" TargetMode="External"/><Relationship Id="rId44" Type="http://schemas.openxmlformats.org/officeDocument/2006/relationships/hyperlink" Target="https://www.who.int/elena/titles/vitamina_pneumonia_children/en/" TargetMode="External"/><Relationship Id="rId52" Type="http://schemas.openxmlformats.org/officeDocument/2006/relationships/hyperlink" Target="https://www.who.int/elena/titles/vitaminb6-pregnancy/en/" TargetMode="External"/><Relationship Id="rId60" Type="http://schemas.openxmlformats.org/officeDocument/2006/relationships/hyperlink" Target="https://www.who.int/elena/titles/zinc_pregnancy/en/" TargetMode="External"/><Relationship Id="rId65" Type="http://schemas.openxmlformats.org/officeDocument/2006/relationships/hyperlink" Target="https://www.who.int/elena/titles/rice_fortification/en/" TargetMode="External"/><Relationship Id="rId73" Type="http://schemas.openxmlformats.org/officeDocument/2006/relationships/hyperlink" Target="https://www.who.int/elena/titles/micronutrientpowder_pregnancy/en/"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ho.int/elena/titles/calcium_pregnancy/en/" TargetMode="External"/><Relationship Id="rId13" Type="http://schemas.openxmlformats.org/officeDocument/2006/relationships/hyperlink" Target="https://www.who.int/elena/titles/intermittent_iron_pregnancy_malaria/en/" TargetMode="External"/><Relationship Id="rId18" Type="http://schemas.openxmlformats.org/officeDocument/2006/relationships/hyperlink" Target="https://www.who.int/elena/titles/folate_periconceptional/en/" TargetMode="External"/><Relationship Id="rId39" Type="http://schemas.openxmlformats.org/officeDocument/2006/relationships/hyperlink" Target="https://www.who.int/elena/titles/salt_iodization/en/" TargetMode="External"/><Relationship Id="rId34" Type="http://schemas.openxmlformats.org/officeDocument/2006/relationships/hyperlink" Target="https://www.who.int/elena/titles/iron-intermittent-children-malaria/en/" TargetMode="External"/><Relationship Id="rId50" Type="http://schemas.openxmlformats.org/officeDocument/2006/relationships/hyperlink" Target="https://www.who.int/elena/titles/vitamina_neonatal/en/" TargetMode="External"/><Relationship Id="rId55" Type="http://schemas.openxmlformats.org/officeDocument/2006/relationships/hyperlink" Target="https://www.who.int/elena/titles/vitamind_supp_pregnancy/en/"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who.int/elena/titles/micronutrientpowder-children/en/" TargetMode="External"/><Relationship Id="rId2" Type="http://schemas.openxmlformats.org/officeDocument/2006/relationships/numbering" Target="numbering.xml"/><Relationship Id="rId29" Type="http://schemas.openxmlformats.org/officeDocument/2006/relationships/hyperlink" Target="https://www.who.int/elena/titles/intermittent_iron_pregnancy/en/" TargetMode="External"/><Relationship Id="rId24" Type="http://schemas.openxmlformats.org/officeDocument/2006/relationships/hyperlink" Target="https://www.who.int/elena/titles/iron-children-24to59-malaria/en/" TargetMode="External"/><Relationship Id="rId40" Type="http://schemas.openxmlformats.org/officeDocument/2006/relationships/hyperlink" Target="https://www.who.int/elena/titles/sodium_bp_children/en/" TargetMode="External"/><Relationship Id="rId45" Type="http://schemas.openxmlformats.org/officeDocument/2006/relationships/hyperlink" Target="https://www.who.int/elena/titles/vitamina_hiv_adults/en/" TargetMode="External"/><Relationship Id="rId66" Type="http://schemas.openxmlformats.org/officeDocument/2006/relationships/hyperlink" Target="https://www.who.int/elena/titles/wheat-flour-fortification/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65CF-CDF9-4277-B466-FF1AEBA6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3623</Words>
  <Characters>19927</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Elena</cp:lastModifiedBy>
  <cp:revision>40</cp:revision>
  <cp:lastPrinted>2014-02-13T16:30:00Z</cp:lastPrinted>
  <dcterms:created xsi:type="dcterms:W3CDTF">2020-05-09T08:47:00Z</dcterms:created>
  <dcterms:modified xsi:type="dcterms:W3CDTF">2021-02-01T11:24:00Z</dcterms:modified>
</cp:coreProperties>
</file>