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2C81A" w14:textId="77777777" w:rsidR="00432B54" w:rsidRPr="00187A1F" w:rsidRDefault="000F3A78" w:rsidP="00D85A30">
      <w:pPr>
        <w:pStyle w:val="Heading2"/>
        <w:jc w:val="center"/>
        <w:rPr>
          <w:rFonts w:asciiTheme="minorHAnsi" w:hAnsiTheme="minorHAnsi"/>
          <w:color w:val="ED7D31" w:themeColor="accent2"/>
          <w:sz w:val="22"/>
          <w:szCs w:val="22"/>
        </w:rPr>
      </w:pPr>
      <w:r>
        <w:rPr>
          <w:rFonts w:asciiTheme="minorHAnsi" w:hAnsiTheme="minorHAnsi"/>
          <w:color w:val="ED7D31" w:themeColor="accent2"/>
          <w:sz w:val="22"/>
          <w:szCs w:val="22"/>
        </w:rPr>
        <w:t xml:space="preserve">Family MUAC (known as </w:t>
      </w:r>
      <w:r w:rsidR="00D85A30" w:rsidRPr="00187A1F">
        <w:rPr>
          <w:rFonts w:asciiTheme="minorHAnsi" w:hAnsiTheme="minorHAnsi"/>
          <w:color w:val="ED7D31" w:themeColor="accent2"/>
          <w:sz w:val="22"/>
          <w:szCs w:val="22"/>
        </w:rPr>
        <w:t>MUAC by Mother</w:t>
      </w:r>
      <w:r>
        <w:rPr>
          <w:rFonts w:asciiTheme="minorHAnsi" w:hAnsiTheme="minorHAnsi"/>
          <w:color w:val="ED7D31" w:themeColor="accent2"/>
          <w:sz w:val="22"/>
          <w:szCs w:val="22"/>
        </w:rPr>
        <w:t>)</w:t>
      </w:r>
      <w:r w:rsidR="00D85A30" w:rsidRPr="00187A1F">
        <w:rPr>
          <w:rFonts w:asciiTheme="minorHAnsi" w:hAnsiTheme="minorHAnsi"/>
          <w:color w:val="ED7D31" w:themeColor="accent2"/>
          <w:sz w:val="22"/>
          <w:szCs w:val="22"/>
        </w:rPr>
        <w:t xml:space="preserve"> Monitoring &amp; Evaluation Toolkit</w:t>
      </w:r>
    </w:p>
    <w:p w14:paraId="4B433070" w14:textId="77777777" w:rsidR="00D85A30" w:rsidRPr="00187A1F" w:rsidRDefault="007D42EF" w:rsidP="00D85A30">
      <w:pPr>
        <w:pStyle w:val="Heading3"/>
        <w:rPr>
          <w:rFonts w:asciiTheme="minorHAnsi" w:hAnsiTheme="minorHAnsi"/>
          <w:color w:val="ED7D31" w:themeColor="accent2"/>
          <w:u w:val="single"/>
        </w:rPr>
      </w:pPr>
      <w:r w:rsidRPr="00187A1F">
        <w:rPr>
          <w:rFonts w:asciiTheme="minorHAnsi" w:hAnsiTheme="minorHAnsi"/>
          <w:color w:val="ED7D31" w:themeColor="accent2"/>
          <w:u w:val="single"/>
        </w:rPr>
        <w:t>Background</w:t>
      </w:r>
    </w:p>
    <w:p w14:paraId="6BA60BDB" w14:textId="71508886" w:rsidR="007D42EF" w:rsidRPr="00187A1F" w:rsidRDefault="007D42EF" w:rsidP="00187A1F">
      <w:pPr>
        <w:jc w:val="both"/>
      </w:pPr>
      <w:r w:rsidRPr="00187A1F">
        <w:t>The</w:t>
      </w:r>
      <w:r w:rsidR="00F84293">
        <w:t xml:space="preserve"> Family MUAC approach </w:t>
      </w:r>
      <w:r w:rsidR="00D8086A">
        <w:t>previously</w:t>
      </w:r>
      <w:r w:rsidR="00F84293">
        <w:t xml:space="preserve"> known as “</w:t>
      </w:r>
      <w:r w:rsidR="00F84293" w:rsidRPr="00187A1F">
        <w:t>Mothers Understand and Can Do MUAC</w:t>
      </w:r>
      <w:r w:rsidR="00F84293">
        <w:t>“ and “</w:t>
      </w:r>
      <w:r w:rsidRPr="00187A1F">
        <w:t>MUAC by Mother</w:t>
      </w:r>
      <w:r w:rsidR="00F84293">
        <w:t>”</w:t>
      </w:r>
      <w:r w:rsidRPr="00187A1F">
        <w:t xml:space="preserve"> was designed in 2012 to empower mothers</w:t>
      </w:r>
      <w:r w:rsidR="00D8086A">
        <w:t xml:space="preserve"> and later</w:t>
      </w:r>
      <w:r w:rsidR="003C2F7B">
        <w:t>, families (including males)</w:t>
      </w:r>
      <w:r w:rsidRPr="00187A1F">
        <w:t xml:space="preserve"> to identify malnutrition in their own children and seek treatment. Many children with acute malnutrition still arrive at medical facilities in a critical condition because their malnutrition is diagnosed too late. Normally, to identify malnutrition in children, community health workers use a rapid measurement of body composition known as Mid Upper Arm Circumference (MUAC). MUAC is a methodology that measures the mid</w:t>
      </w:r>
      <w:r w:rsidR="000F3A78">
        <w:t>-</w:t>
      </w:r>
      <w:r w:rsidRPr="00187A1F">
        <w:t xml:space="preserve">point of the less dominant arm and is globally recognised as a best practice community measurement approach for identifying children at high risk of death as result of thinness. Normally, community health workers periodically or opportunistically measure children for acute malnutrition in the communities where they work. However, as checks using MUAC are relatively simple, they can easily be learned by mothers or other primary carers. With some guidance they can then measure childhood thinness on a more regular basis, thus identifying decline in weight before malnutrition occurs. Identifying malnutrition earlier means that early c treatment can be sought which can vastly improve health outcomes. </w:t>
      </w:r>
    </w:p>
    <w:p w14:paraId="5C21C239" w14:textId="415DF7FD" w:rsidR="007D42EF" w:rsidRPr="00187A1F" w:rsidRDefault="007D42EF" w:rsidP="00187A1F">
      <w:pPr>
        <w:jc w:val="both"/>
      </w:pPr>
      <w:r w:rsidRPr="00187A1F">
        <w:t xml:space="preserve">The </w:t>
      </w:r>
      <w:r w:rsidR="00F84293">
        <w:t xml:space="preserve">Family MUAC </w:t>
      </w:r>
      <w:r w:rsidR="00EA72B6" w:rsidRPr="00187A1F">
        <w:t>approach</w:t>
      </w:r>
      <w:r w:rsidRPr="00187A1F">
        <w:t xml:space="preserve"> was first piloted by ALIMA in Niger in 2013-2014 (funded by ECHO) and supported by UNICEF.  The </w:t>
      </w:r>
      <w:r w:rsidR="00F84293">
        <w:t>Family</w:t>
      </w:r>
      <w:r w:rsidRPr="00187A1F">
        <w:t xml:space="preserve"> MUAC approach is now widely recognised as an approach with huge potential to improve malnutrition outcomes globally. </w:t>
      </w:r>
      <w:r w:rsidR="00187A1F" w:rsidRPr="00187A1F">
        <w:t xml:space="preserve"> </w:t>
      </w:r>
      <w:r w:rsidRPr="00187A1F">
        <w:t xml:space="preserve">Early case detection also means more children are treated successfully in less time, with a positive knock on effect reducing cost and the burden on resources. It also has the potential to improve programme compliance, whereby self-referrals tend to be coupled with improved attendance, as people better understand that their children are ill and families with children who are not as critically ill have lower defaulter rates. Lastly, it has the potential to significantly increase coverage, due to the decentralisation of the service down to the lowest common denominator. All these positive outcomes create a virtuous cycle and consequently reduce morbidity and mortality associated with malnutrition, also inadvertently contributing to a reduction in chronic malnutrition, where cyclical episodes of severe acute malnutrition can be averted. </w:t>
      </w:r>
    </w:p>
    <w:p w14:paraId="1624F3AE" w14:textId="77777777" w:rsidR="00F62242" w:rsidRDefault="007D42EF" w:rsidP="00187A1F">
      <w:pPr>
        <w:spacing w:after="0" w:line="240" w:lineRule="auto"/>
        <w:jc w:val="both"/>
        <w:rPr>
          <w:rFonts w:cs="TmsrpwAdvTTb5929f4c"/>
        </w:rPr>
      </w:pPr>
      <w:r w:rsidRPr="00187A1F">
        <w:t>ALIMA’s initial results from their 2013-2014 pilot showed MUAC at admission was higher (</w:t>
      </w:r>
      <w:r w:rsidR="00EA72B6" w:rsidRPr="00187A1F">
        <w:t>meaning</w:t>
      </w:r>
      <w:r w:rsidRPr="00187A1F">
        <w:t xml:space="preserve"> the child had a less severe form of malnutrition), defaulter rates were much lower, accuracy from measurement of mothers was better (less children were rejected at facility level), better coverage and costs were 2.5 times less th</w:t>
      </w:r>
      <w:r w:rsidR="00187A1F" w:rsidRPr="00187A1F">
        <w:t xml:space="preserve">an using community volunteers. </w:t>
      </w:r>
      <w:r w:rsidR="00187A1F" w:rsidRPr="00187A1F">
        <w:rPr>
          <w:lang w:val="en-IE"/>
        </w:rPr>
        <w:t>In light of these positive initial results, ALIMA then carried out a non-randomized efficacy study in two health zones in Niger whereby 12,893 mothers and caretakers were trained vs 36 community health workers. Point coverage was similar in both areas, but in maternal MUAC screening resulted in improved MUAC specificity, earlier case detection, less need for in-patient care. Training mothers required higher up-front costs, but overall costs for the year were much lower</w:t>
      </w:r>
      <w:r w:rsidR="00187A1F" w:rsidRPr="00187A1F">
        <w:rPr>
          <w:rFonts w:cs="TmsrpwAdvTTb5929f4c"/>
        </w:rPr>
        <w:t xml:space="preserve"> ($8,600 USD vs $21,980 USD.)</w:t>
      </w:r>
      <w:r w:rsidR="00187A1F">
        <w:rPr>
          <w:rStyle w:val="FootnoteReference"/>
          <w:rFonts w:cs="TmsrpwAdvTTb5929f4c"/>
        </w:rPr>
        <w:footnoteReference w:id="2"/>
      </w:r>
      <w:r w:rsidR="00187A1F">
        <w:rPr>
          <w:rFonts w:cs="TmsrpwAdvTTb5929f4c"/>
        </w:rPr>
        <w:t>.</w:t>
      </w:r>
      <w:r w:rsidR="00187A1F" w:rsidRPr="00187A1F">
        <w:rPr>
          <w:rFonts w:cs="TmsrpwAdvTTb5929f4c"/>
        </w:rPr>
        <w:t xml:space="preserve"> See the following short clip to demonstrate ALIMAs work in this area: </w:t>
      </w:r>
    </w:p>
    <w:p w14:paraId="32374D84" w14:textId="77777777" w:rsidR="00F62242" w:rsidRPr="00F62242" w:rsidRDefault="008A1616" w:rsidP="00F62242">
      <w:pPr>
        <w:pStyle w:val="ListParagraph"/>
        <w:numPr>
          <w:ilvl w:val="0"/>
          <w:numId w:val="3"/>
        </w:numPr>
        <w:spacing w:after="0" w:line="240" w:lineRule="auto"/>
        <w:jc w:val="both"/>
        <w:rPr>
          <w:rStyle w:val="Hyperlink"/>
          <w:color w:val="auto"/>
          <w:u w:val="none"/>
        </w:rPr>
      </w:pPr>
      <w:hyperlink r:id="rId11" w:history="1">
        <w:r w:rsidR="00F62242" w:rsidRPr="00EC0EBB">
          <w:rPr>
            <w:rStyle w:val="Hyperlink"/>
          </w:rPr>
          <w:t>https://www.youtube.com/watch?time_continue=72&amp;v=V2bDNKjQXsA</w:t>
        </w:r>
      </w:hyperlink>
      <w:r w:rsidR="00F62242">
        <w:rPr>
          <w:rStyle w:val="Hyperlink"/>
          <w:color w:val="auto"/>
          <w:u w:val="none"/>
        </w:rPr>
        <w:t xml:space="preserve"> </w:t>
      </w:r>
    </w:p>
    <w:p w14:paraId="0EA5910E" w14:textId="77777777" w:rsidR="00F62242" w:rsidRPr="00187A1F" w:rsidRDefault="008A1616" w:rsidP="00F62242">
      <w:pPr>
        <w:pStyle w:val="ListParagraph"/>
        <w:numPr>
          <w:ilvl w:val="0"/>
          <w:numId w:val="3"/>
        </w:numPr>
        <w:spacing w:after="0" w:line="240" w:lineRule="auto"/>
        <w:jc w:val="both"/>
      </w:pPr>
      <w:hyperlink r:id="rId12" w:history="1">
        <w:r w:rsidR="00F62242" w:rsidRPr="00EC0EBB">
          <w:rPr>
            <w:rStyle w:val="Hyperlink"/>
          </w:rPr>
          <w:t>https://www.youtube.com/watch?v=V2bIYUjtq38</w:t>
        </w:r>
      </w:hyperlink>
      <w:r w:rsidR="00187A1F" w:rsidRPr="00187A1F">
        <w:t xml:space="preserve"> </w:t>
      </w:r>
    </w:p>
    <w:p w14:paraId="00BA803C" w14:textId="77777777" w:rsidR="00187A1F" w:rsidRPr="00187A1F" w:rsidRDefault="00187A1F" w:rsidP="00187A1F">
      <w:pPr>
        <w:spacing w:after="0" w:line="240" w:lineRule="auto"/>
        <w:jc w:val="both"/>
      </w:pPr>
    </w:p>
    <w:p w14:paraId="0DD62F7A" w14:textId="77777777" w:rsidR="00187A1F" w:rsidRPr="00187A1F" w:rsidRDefault="00187A1F" w:rsidP="00187A1F">
      <w:pPr>
        <w:spacing w:after="0" w:line="240" w:lineRule="auto"/>
        <w:jc w:val="both"/>
        <w:rPr>
          <w:lang w:val="en-IE"/>
        </w:rPr>
      </w:pPr>
      <w:r w:rsidRPr="00187A1F">
        <w:rPr>
          <w:lang w:val="en-IE"/>
        </w:rPr>
        <w:t xml:space="preserve">GOAL’s programmatic results generated from Maiwut, </w:t>
      </w:r>
      <w:r w:rsidR="00F62242">
        <w:rPr>
          <w:lang w:val="en-IE"/>
        </w:rPr>
        <w:t xml:space="preserve">South Sudan </w:t>
      </w:r>
      <w:r w:rsidRPr="00187A1F">
        <w:rPr>
          <w:lang w:val="en-IE"/>
        </w:rPr>
        <w:t>were analysed, comparing data from Oct</w:t>
      </w:r>
      <w:r w:rsidR="00F62242">
        <w:rPr>
          <w:lang w:val="en-IE"/>
        </w:rPr>
        <w:t>ober</w:t>
      </w:r>
      <w:r w:rsidRPr="00187A1F">
        <w:rPr>
          <w:lang w:val="en-IE"/>
        </w:rPr>
        <w:t xml:space="preserve"> 2014 – June 2015 with Oct</w:t>
      </w:r>
      <w:r w:rsidR="00F62242">
        <w:rPr>
          <w:lang w:val="en-IE"/>
        </w:rPr>
        <w:t>ober</w:t>
      </w:r>
      <w:r w:rsidRPr="00187A1F">
        <w:rPr>
          <w:lang w:val="en-IE"/>
        </w:rPr>
        <w:t xml:space="preserve"> 2015 – June 2016. Findings showed, OTP child SAM admissions increased by 47%, TSFP child MAM admissions by 75% and TSFP PLW MAM admissions by 24%. SMART surveys were able to show prevalence rates of </w:t>
      </w:r>
      <w:r w:rsidR="00F84293">
        <w:rPr>
          <w:lang w:val="en-IE"/>
        </w:rPr>
        <w:t>malnutrition</w:t>
      </w:r>
      <w:r w:rsidRPr="00187A1F">
        <w:rPr>
          <w:lang w:val="en-IE"/>
        </w:rPr>
        <w:t xml:space="preserve"> remained similar between comparative years and thus it is probable the improvements were attributable to the initiative.</w:t>
      </w:r>
    </w:p>
    <w:p w14:paraId="447FAEF6" w14:textId="19E9471B" w:rsidR="00BF7135" w:rsidRDefault="00BF7135" w:rsidP="002A1C1C">
      <w:pPr>
        <w:pStyle w:val="Heading3"/>
        <w:rPr>
          <w:rFonts w:asciiTheme="minorHAnsi" w:hAnsiTheme="minorHAnsi"/>
          <w:color w:val="ED7D31" w:themeColor="accent2"/>
          <w:u w:val="single"/>
        </w:rPr>
      </w:pPr>
    </w:p>
    <w:p w14:paraId="2559A975" w14:textId="77777777" w:rsidR="00BF7135" w:rsidRPr="00BF7135" w:rsidRDefault="00BF7135" w:rsidP="00BF7135"/>
    <w:p w14:paraId="6CE81F34" w14:textId="529F4DFC" w:rsidR="002A1C1C" w:rsidRDefault="002A1C1C" w:rsidP="002A1C1C">
      <w:pPr>
        <w:pStyle w:val="Heading3"/>
        <w:rPr>
          <w:rFonts w:asciiTheme="minorHAnsi" w:hAnsiTheme="minorHAnsi"/>
          <w:color w:val="ED7D31" w:themeColor="accent2"/>
          <w:u w:val="single"/>
        </w:rPr>
      </w:pPr>
      <w:r>
        <w:rPr>
          <w:rFonts w:asciiTheme="minorHAnsi" w:hAnsiTheme="minorHAnsi"/>
          <w:color w:val="ED7D31" w:themeColor="accent2"/>
          <w:u w:val="single"/>
        </w:rPr>
        <w:t>Introduction</w:t>
      </w:r>
      <w:r w:rsidR="00717598">
        <w:rPr>
          <w:rFonts w:asciiTheme="minorHAnsi" w:hAnsiTheme="minorHAnsi"/>
          <w:color w:val="ED7D31" w:themeColor="accent2"/>
          <w:u w:val="single"/>
        </w:rPr>
        <w:t xml:space="preserve"> and objective of toolkit </w:t>
      </w:r>
    </w:p>
    <w:p w14:paraId="200208F6" w14:textId="7DC54F43" w:rsidR="00717598" w:rsidRDefault="002A1C1C" w:rsidP="002A1C1C">
      <w:r>
        <w:t>Th</w:t>
      </w:r>
      <w:r w:rsidR="00CD326F">
        <w:t>e</w:t>
      </w:r>
      <w:r>
        <w:t xml:space="preserve"> monitoring and evaluation toolkit </w:t>
      </w:r>
      <w:r w:rsidR="00717598">
        <w:t xml:space="preserve">has been developed by GOAL </w:t>
      </w:r>
      <w:r>
        <w:t xml:space="preserve">to measure the process and outcome indicators of the </w:t>
      </w:r>
      <w:r w:rsidR="00631284">
        <w:t xml:space="preserve">Family </w:t>
      </w:r>
      <w:r>
        <w:t xml:space="preserve">MUAC </w:t>
      </w:r>
      <w:r w:rsidR="00717598">
        <w:t>approach</w:t>
      </w:r>
      <w:r w:rsidR="00CD326F">
        <w:t>.</w:t>
      </w:r>
    </w:p>
    <w:p w14:paraId="091E995E" w14:textId="77777777" w:rsidR="00E22E0B" w:rsidRDefault="00E22E0B" w:rsidP="00E22E0B">
      <w:pPr>
        <w:pStyle w:val="Heading3"/>
        <w:rPr>
          <w:rFonts w:asciiTheme="minorHAnsi" w:hAnsiTheme="minorHAnsi"/>
          <w:color w:val="ED7D31" w:themeColor="accent2"/>
          <w:u w:val="single"/>
        </w:rPr>
      </w:pPr>
      <w:r>
        <w:rPr>
          <w:rFonts w:asciiTheme="minorHAnsi" w:hAnsiTheme="minorHAnsi"/>
          <w:color w:val="ED7D31" w:themeColor="accent2"/>
          <w:u w:val="single"/>
        </w:rPr>
        <w:t xml:space="preserve">What does the </w:t>
      </w:r>
      <w:r w:rsidR="00631284">
        <w:rPr>
          <w:rFonts w:asciiTheme="minorHAnsi" w:hAnsiTheme="minorHAnsi"/>
          <w:color w:val="ED7D31" w:themeColor="accent2"/>
          <w:u w:val="single"/>
        </w:rPr>
        <w:t>Family MUAC</w:t>
      </w:r>
      <w:r>
        <w:rPr>
          <w:rFonts w:asciiTheme="minorHAnsi" w:hAnsiTheme="minorHAnsi"/>
          <w:color w:val="ED7D31" w:themeColor="accent2"/>
          <w:u w:val="single"/>
        </w:rPr>
        <w:t xml:space="preserve"> toolkit m</w:t>
      </w:r>
      <w:r w:rsidR="0058628A">
        <w:rPr>
          <w:rFonts w:asciiTheme="minorHAnsi" w:hAnsiTheme="minorHAnsi"/>
          <w:color w:val="ED7D31" w:themeColor="accent2"/>
          <w:u w:val="single"/>
        </w:rPr>
        <w:t>easure?</w:t>
      </w:r>
    </w:p>
    <w:tbl>
      <w:tblPr>
        <w:tblStyle w:val="TableGrid"/>
        <w:tblW w:w="0" w:type="auto"/>
        <w:tblLook w:val="04A0" w:firstRow="1" w:lastRow="0" w:firstColumn="1" w:lastColumn="0" w:noHBand="0" w:noVBand="1"/>
      </w:tblPr>
      <w:tblGrid>
        <w:gridCol w:w="9242"/>
      </w:tblGrid>
      <w:tr w:rsidR="0058628A" w14:paraId="5883DD0E" w14:textId="77777777" w:rsidTr="00D07529">
        <w:tc>
          <w:tcPr>
            <w:tcW w:w="9242" w:type="dxa"/>
            <w:shd w:val="clear" w:color="auto" w:fill="D9D9D9" w:themeFill="background1" w:themeFillShade="D9"/>
          </w:tcPr>
          <w:p w14:paraId="75EE5003" w14:textId="77777777" w:rsidR="0058628A" w:rsidRDefault="0058628A" w:rsidP="0058628A">
            <w:r>
              <w:t>Outcome Indicator:</w:t>
            </w:r>
          </w:p>
          <w:p w14:paraId="52806B04" w14:textId="77777777" w:rsidR="0058628A" w:rsidRDefault="0058628A" w:rsidP="0058628A">
            <w:pPr>
              <w:pStyle w:val="ListParagraph"/>
              <w:numPr>
                <w:ilvl w:val="0"/>
                <w:numId w:val="1"/>
              </w:numPr>
            </w:pPr>
            <w:r>
              <w:t xml:space="preserve">Percentage of correct </w:t>
            </w:r>
            <w:r w:rsidR="00595EFF">
              <w:t>Family</w:t>
            </w:r>
            <w:r>
              <w:t xml:space="preserve"> MUAC measurements compared to regular health promoters referenced against GOAL trained supervisor. </w:t>
            </w:r>
          </w:p>
          <w:p w14:paraId="23964FE6" w14:textId="77777777" w:rsidR="0058628A" w:rsidRDefault="0058628A" w:rsidP="0058628A">
            <w:pPr>
              <w:pStyle w:val="ListParagraph"/>
              <w:numPr>
                <w:ilvl w:val="0"/>
                <w:numId w:val="1"/>
              </w:numPr>
            </w:pPr>
            <w:r>
              <w:t>Percentage of self</w:t>
            </w:r>
            <w:r w:rsidR="005D286B">
              <w:t>-</w:t>
            </w:r>
            <w:r>
              <w:t xml:space="preserve">referrals presenting at the health facility which are accurate. </w:t>
            </w:r>
          </w:p>
        </w:tc>
      </w:tr>
      <w:tr w:rsidR="0058628A" w14:paraId="6ABCFCA0" w14:textId="77777777" w:rsidTr="00D07529">
        <w:tc>
          <w:tcPr>
            <w:tcW w:w="9242" w:type="dxa"/>
            <w:shd w:val="clear" w:color="auto" w:fill="F2F2F2" w:themeFill="background1" w:themeFillShade="F2"/>
          </w:tcPr>
          <w:p w14:paraId="55C44C42" w14:textId="77777777" w:rsidR="0058628A" w:rsidRDefault="00FF5455" w:rsidP="0058628A">
            <w:r>
              <w:t>Output</w:t>
            </w:r>
            <w:r w:rsidR="0058628A">
              <w:t xml:space="preserve"> Indicator:</w:t>
            </w:r>
          </w:p>
          <w:p w14:paraId="66AE6893" w14:textId="77777777" w:rsidR="0058628A" w:rsidRDefault="0058628A" w:rsidP="0058628A">
            <w:pPr>
              <w:pStyle w:val="ListParagraph"/>
              <w:numPr>
                <w:ilvl w:val="0"/>
                <w:numId w:val="2"/>
              </w:numPr>
            </w:pPr>
            <w:r>
              <w:t>Number of MUAC tapes distributed</w:t>
            </w:r>
          </w:p>
          <w:p w14:paraId="4BEEBF1F" w14:textId="77777777" w:rsidR="0058628A" w:rsidRDefault="0058628A" w:rsidP="0058628A">
            <w:pPr>
              <w:pStyle w:val="ListParagraph"/>
              <w:numPr>
                <w:ilvl w:val="0"/>
                <w:numId w:val="2"/>
              </w:numPr>
            </w:pPr>
            <w:r>
              <w:t>Number of mothers trained to MUAC screen their children and identify nutritional oedema in target ‘acute malnutrition treatment service’ catchment areas</w:t>
            </w:r>
          </w:p>
          <w:p w14:paraId="2126DB6F" w14:textId="77777777" w:rsidR="0058628A" w:rsidRDefault="0058628A" w:rsidP="0058628A">
            <w:pPr>
              <w:pStyle w:val="ListParagraph"/>
              <w:numPr>
                <w:ilvl w:val="0"/>
                <w:numId w:val="2"/>
              </w:numPr>
            </w:pPr>
            <w:r>
              <w:t xml:space="preserve">Number of self-referrals to Health Facilities by mothers bringing their children after screening at home </w:t>
            </w:r>
          </w:p>
        </w:tc>
      </w:tr>
    </w:tbl>
    <w:p w14:paraId="6F347504" w14:textId="77777777" w:rsidR="00E22E0B" w:rsidRPr="00E22E0B" w:rsidRDefault="00E22E0B" w:rsidP="00E22E0B"/>
    <w:p w14:paraId="4A7A1410" w14:textId="77777777" w:rsidR="00717598" w:rsidRPr="00717598" w:rsidRDefault="00631284" w:rsidP="00717598">
      <w:pPr>
        <w:pStyle w:val="Heading3"/>
        <w:rPr>
          <w:rFonts w:asciiTheme="minorHAnsi" w:hAnsiTheme="minorHAnsi"/>
          <w:color w:val="ED7D31" w:themeColor="accent2"/>
          <w:u w:val="single"/>
        </w:rPr>
      </w:pPr>
      <w:r>
        <w:rPr>
          <w:rFonts w:asciiTheme="minorHAnsi" w:hAnsiTheme="minorHAnsi"/>
          <w:color w:val="ED7D31" w:themeColor="accent2"/>
          <w:u w:val="single"/>
        </w:rPr>
        <w:t>Family MUAC</w:t>
      </w:r>
      <w:r w:rsidR="00E22E0B">
        <w:rPr>
          <w:rFonts w:asciiTheme="minorHAnsi" w:hAnsiTheme="minorHAnsi"/>
          <w:color w:val="ED7D31" w:themeColor="accent2"/>
          <w:u w:val="single"/>
        </w:rPr>
        <w:t xml:space="preserve"> monitoring and e</w:t>
      </w:r>
      <w:r w:rsidR="00717598">
        <w:rPr>
          <w:rFonts w:asciiTheme="minorHAnsi" w:hAnsiTheme="minorHAnsi"/>
          <w:color w:val="ED7D31" w:themeColor="accent2"/>
          <w:u w:val="single"/>
        </w:rPr>
        <w:t xml:space="preserve">valuation </w:t>
      </w:r>
      <w:r w:rsidR="00E22E0B">
        <w:rPr>
          <w:rFonts w:asciiTheme="minorHAnsi" w:hAnsiTheme="minorHAnsi"/>
          <w:color w:val="ED7D31" w:themeColor="accent2"/>
          <w:u w:val="single"/>
        </w:rPr>
        <w:t>toolkit c</w:t>
      </w:r>
      <w:r w:rsidR="00717598" w:rsidRPr="00717598">
        <w:rPr>
          <w:rFonts w:asciiTheme="minorHAnsi" w:hAnsiTheme="minorHAnsi"/>
          <w:color w:val="ED7D31" w:themeColor="accent2"/>
          <w:u w:val="single"/>
        </w:rPr>
        <w:t xml:space="preserve">ontent </w:t>
      </w:r>
    </w:p>
    <w:p w14:paraId="48607C29" w14:textId="77777777" w:rsidR="00717598" w:rsidRDefault="002A1C1C" w:rsidP="002A1C1C">
      <w:r>
        <w:t xml:space="preserve"> </w:t>
      </w:r>
      <w:r w:rsidR="00717598">
        <w:t>The toolkit includes the following</w:t>
      </w:r>
      <w:r w:rsidR="00E22E0B">
        <w:t xml:space="preserve">: </w:t>
      </w:r>
    </w:p>
    <w:tbl>
      <w:tblPr>
        <w:tblStyle w:val="TableGrid"/>
        <w:tblW w:w="0" w:type="auto"/>
        <w:tblLook w:val="04A0" w:firstRow="1" w:lastRow="0" w:firstColumn="1" w:lastColumn="0" w:noHBand="0" w:noVBand="1"/>
      </w:tblPr>
      <w:tblGrid>
        <w:gridCol w:w="4621"/>
        <w:gridCol w:w="4621"/>
      </w:tblGrid>
      <w:tr w:rsidR="00303380" w14:paraId="29E793E7" w14:textId="77777777" w:rsidTr="00303380">
        <w:tc>
          <w:tcPr>
            <w:tcW w:w="9242" w:type="dxa"/>
            <w:gridSpan w:val="2"/>
            <w:shd w:val="clear" w:color="auto" w:fill="FFFFBD"/>
          </w:tcPr>
          <w:p w14:paraId="629615CD" w14:textId="77777777" w:rsidR="00E56208" w:rsidRDefault="00E56208" w:rsidP="00E56208">
            <w:pPr>
              <w:jc w:val="center"/>
              <w:rPr>
                <w:b/>
              </w:rPr>
            </w:pPr>
          </w:p>
          <w:p w14:paraId="5385A380" w14:textId="77777777" w:rsidR="00303380" w:rsidRDefault="00E56208" w:rsidP="00E56208">
            <w:pPr>
              <w:jc w:val="center"/>
              <w:rPr>
                <w:b/>
              </w:rPr>
            </w:pPr>
            <w:r>
              <w:rPr>
                <w:b/>
              </w:rPr>
              <w:t xml:space="preserve">Annex 0 – Targeting &amp; Planning </w:t>
            </w:r>
          </w:p>
          <w:p w14:paraId="5B821EE1" w14:textId="32CF3DE1" w:rsidR="00E56208" w:rsidRPr="00E56208" w:rsidRDefault="00E56208" w:rsidP="00E56208">
            <w:pPr>
              <w:jc w:val="center"/>
              <w:rPr>
                <w:b/>
              </w:rPr>
            </w:pPr>
          </w:p>
        </w:tc>
      </w:tr>
      <w:tr w:rsidR="00303380" w14:paraId="4917C236" w14:textId="77777777" w:rsidTr="00717598">
        <w:tc>
          <w:tcPr>
            <w:tcW w:w="4621" w:type="dxa"/>
            <w:shd w:val="clear" w:color="auto" w:fill="FFF2CC" w:themeFill="accent4" w:themeFillTint="33"/>
          </w:tcPr>
          <w:p w14:paraId="6846DE74" w14:textId="4EDC5F35" w:rsidR="00303380" w:rsidRDefault="00303380" w:rsidP="00303380">
            <w:pPr>
              <w:rPr>
                <w:b/>
              </w:rPr>
            </w:pPr>
            <w:r>
              <w:rPr>
                <w:b/>
              </w:rPr>
              <w:t xml:space="preserve">Annex 1 </w:t>
            </w:r>
            <w:r w:rsidRPr="00717598">
              <w:rPr>
                <w:b/>
              </w:rPr>
              <w:t>Community Monitoring and Evaluation</w:t>
            </w:r>
          </w:p>
        </w:tc>
        <w:tc>
          <w:tcPr>
            <w:tcW w:w="4621" w:type="dxa"/>
            <w:shd w:val="clear" w:color="auto" w:fill="E2EFD9" w:themeFill="accent6" w:themeFillTint="33"/>
          </w:tcPr>
          <w:p w14:paraId="01D0FA1C" w14:textId="773D5AAE" w:rsidR="00303380" w:rsidRDefault="00303380" w:rsidP="00303380">
            <w:pPr>
              <w:rPr>
                <w:b/>
              </w:rPr>
            </w:pPr>
            <w:r>
              <w:rPr>
                <w:b/>
              </w:rPr>
              <w:t xml:space="preserve">Annex 2 </w:t>
            </w:r>
            <w:r w:rsidRPr="00717598">
              <w:rPr>
                <w:b/>
              </w:rPr>
              <w:t>Health Facility Monitoring and Evaluation</w:t>
            </w:r>
          </w:p>
        </w:tc>
      </w:tr>
      <w:tr w:rsidR="00303380" w14:paraId="5AC89E23" w14:textId="77777777" w:rsidTr="00717598">
        <w:tc>
          <w:tcPr>
            <w:tcW w:w="4621" w:type="dxa"/>
            <w:shd w:val="clear" w:color="auto" w:fill="FFF2CC" w:themeFill="accent4" w:themeFillTint="33"/>
          </w:tcPr>
          <w:p w14:paraId="3421C98E" w14:textId="54C34029" w:rsidR="00303380" w:rsidRDefault="00303380" w:rsidP="00303380">
            <w:r>
              <w:t xml:space="preserve">Annex 1.1 </w:t>
            </w:r>
            <w:r w:rsidRPr="00717598">
              <w:t>Initial Training Tally Sheet</w:t>
            </w:r>
          </w:p>
        </w:tc>
        <w:tc>
          <w:tcPr>
            <w:tcW w:w="4621" w:type="dxa"/>
            <w:shd w:val="clear" w:color="auto" w:fill="E2EFD9" w:themeFill="accent6" w:themeFillTint="33"/>
          </w:tcPr>
          <w:p w14:paraId="0F3E0EC0" w14:textId="16C03A82" w:rsidR="00303380" w:rsidRDefault="00303380" w:rsidP="00303380">
            <w:r>
              <w:t xml:space="preserve">Annex 2.1 Fam </w:t>
            </w:r>
            <w:r w:rsidRPr="00717598">
              <w:t>MUAC H</w:t>
            </w:r>
            <w:r>
              <w:t>F</w:t>
            </w:r>
            <w:r w:rsidRPr="00717598">
              <w:t xml:space="preserve"> Weekly Register</w:t>
            </w:r>
          </w:p>
        </w:tc>
      </w:tr>
      <w:tr w:rsidR="00303380" w14:paraId="211DB016" w14:textId="77777777" w:rsidTr="00717598">
        <w:tc>
          <w:tcPr>
            <w:tcW w:w="4621" w:type="dxa"/>
            <w:shd w:val="clear" w:color="auto" w:fill="FFF2CC" w:themeFill="accent4" w:themeFillTint="33"/>
          </w:tcPr>
          <w:p w14:paraId="5D677C01" w14:textId="2407E4E4" w:rsidR="00303380" w:rsidRDefault="00303380" w:rsidP="00303380">
            <w:pPr>
              <w:tabs>
                <w:tab w:val="left" w:pos="3265"/>
              </w:tabs>
            </w:pPr>
            <w:r>
              <w:t xml:space="preserve">Annex 1.2 </w:t>
            </w:r>
            <w:r w:rsidRPr="00717598">
              <w:t>Initial Training Summary Sheet</w:t>
            </w:r>
          </w:p>
        </w:tc>
        <w:tc>
          <w:tcPr>
            <w:tcW w:w="4621" w:type="dxa"/>
            <w:vMerge w:val="restart"/>
            <w:shd w:val="clear" w:color="auto" w:fill="E2EFD9" w:themeFill="accent6" w:themeFillTint="33"/>
          </w:tcPr>
          <w:p w14:paraId="660D23A7" w14:textId="19F36CB6" w:rsidR="00303380" w:rsidRDefault="00303380" w:rsidP="00303380">
            <w:r>
              <w:t xml:space="preserve">Annex 2.2 Fam </w:t>
            </w:r>
            <w:r w:rsidRPr="00717598">
              <w:t>MUAC H</w:t>
            </w:r>
            <w:r>
              <w:t>F</w:t>
            </w:r>
            <w:r w:rsidRPr="00717598">
              <w:t xml:space="preserve"> Register Monthly Summary</w:t>
            </w:r>
          </w:p>
        </w:tc>
      </w:tr>
      <w:tr w:rsidR="00303380" w14:paraId="4C0B83A5" w14:textId="77777777" w:rsidTr="00C15266">
        <w:tc>
          <w:tcPr>
            <w:tcW w:w="4621" w:type="dxa"/>
            <w:tcBorders>
              <w:bottom w:val="single" w:sz="4" w:space="0" w:color="auto"/>
            </w:tcBorders>
            <w:shd w:val="clear" w:color="auto" w:fill="FFF2CC" w:themeFill="accent4" w:themeFillTint="33"/>
          </w:tcPr>
          <w:p w14:paraId="0AF8FD7C" w14:textId="6E54A853" w:rsidR="00303380" w:rsidRDefault="00303380" w:rsidP="00303380">
            <w:r>
              <w:t>Annex 1.3 Refresher Train</w:t>
            </w:r>
            <w:r w:rsidRPr="00717598">
              <w:t>ing Tally Sheet</w:t>
            </w:r>
          </w:p>
        </w:tc>
        <w:tc>
          <w:tcPr>
            <w:tcW w:w="4621" w:type="dxa"/>
            <w:vMerge/>
            <w:tcBorders>
              <w:bottom w:val="single" w:sz="4" w:space="0" w:color="auto"/>
            </w:tcBorders>
            <w:shd w:val="clear" w:color="auto" w:fill="E2EFD9" w:themeFill="accent6" w:themeFillTint="33"/>
          </w:tcPr>
          <w:p w14:paraId="0D212816" w14:textId="77777777" w:rsidR="00303380" w:rsidRDefault="00303380" w:rsidP="00303380"/>
        </w:tc>
      </w:tr>
      <w:tr w:rsidR="00303380" w14:paraId="006669AC" w14:textId="77777777" w:rsidTr="00C15266">
        <w:tc>
          <w:tcPr>
            <w:tcW w:w="9242" w:type="dxa"/>
            <w:gridSpan w:val="2"/>
            <w:shd w:val="clear" w:color="auto" w:fill="CDE6FF"/>
          </w:tcPr>
          <w:p w14:paraId="145830CE" w14:textId="77777777" w:rsidR="00303380" w:rsidRDefault="00303380" w:rsidP="00303380">
            <w:pPr>
              <w:jc w:val="center"/>
              <w:rPr>
                <w:b/>
                <w:bCs/>
              </w:rPr>
            </w:pPr>
          </w:p>
          <w:p w14:paraId="57299E84" w14:textId="30F5D39A" w:rsidR="00303380" w:rsidRDefault="00303380" w:rsidP="00303380">
            <w:pPr>
              <w:jc w:val="center"/>
              <w:rPr>
                <w:b/>
                <w:bCs/>
              </w:rPr>
            </w:pPr>
            <w:r w:rsidRPr="00C15266">
              <w:rPr>
                <w:b/>
                <w:bCs/>
              </w:rPr>
              <w:t>Annex 3 Family MUAC Database</w:t>
            </w:r>
          </w:p>
          <w:p w14:paraId="70C63EDC" w14:textId="1655083C" w:rsidR="00303380" w:rsidRPr="00C15266" w:rsidRDefault="00303380" w:rsidP="00303380">
            <w:pPr>
              <w:jc w:val="center"/>
              <w:rPr>
                <w:b/>
                <w:bCs/>
              </w:rPr>
            </w:pPr>
          </w:p>
        </w:tc>
      </w:tr>
    </w:tbl>
    <w:p w14:paraId="53D1E52D" w14:textId="77777777" w:rsidR="00717598" w:rsidRPr="002A1C1C" w:rsidRDefault="00717598" w:rsidP="002A1C1C"/>
    <w:p w14:paraId="3651DFAB" w14:textId="15A40A52" w:rsidR="00D07529" w:rsidRDefault="003A5CD2" w:rsidP="004032E0">
      <w:pPr>
        <w:jc w:val="both"/>
      </w:pPr>
      <w:r>
        <w:t xml:space="preserve">Annex 0 </w:t>
      </w:r>
      <w:r w:rsidR="00144564">
        <w:t xml:space="preserve">helps </w:t>
      </w:r>
      <w:r w:rsidR="00A56AA8">
        <w:t>to map out the services available and MoH staff supporting target areas, the</w:t>
      </w:r>
      <w:r w:rsidR="007E0830">
        <w:t xml:space="preserve"> </w:t>
      </w:r>
      <w:r w:rsidR="003B3F89">
        <w:t xml:space="preserve">no. of </w:t>
      </w:r>
      <w:r w:rsidR="00D035FA">
        <w:t>expected children within catchment areas, no. of CHWs that require training to cascade the approac</w:t>
      </w:r>
      <w:r w:rsidR="00A56AA8">
        <w:t xml:space="preserve">h and expected coverage. </w:t>
      </w:r>
      <w:r w:rsidR="00D07529">
        <w:t xml:space="preserve">Annex </w:t>
      </w:r>
      <w:r w:rsidR="00595EFF">
        <w:t xml:space="preserve">1 </w:t>
      </w:r>
      <w:r w:rsidR="00D07529">
        <w:t xml:space="preserve">of the toolkit is applied at community level to answer outcome indicator 1. Annex 1.1 is used at the initial training to capture the number trained and number after the training taking accurate MUAC measurement. Annex 1.1 is then summarised into annex 1.2 on a monthly basis. Annex 1.3 is used at the </w:t>
      </w:r>
      <w:r w:rsidR="00F20CD0">
        <w:t xml:space="preserve">Family </w:t>
      </w:r>
      <w:r w:rsidR="00D07529">
        <w:t xml:space="preserve">MUAC refresher training. Annex 2 is applied at the health facility level to answer outcome indicator 2. Annex 2.1 is a register which should be printed and left at the health facility for the catchment area where the </w:t>
      </w:r>
      <w:r w:rsidR="00F20CD0">
        <w:t xml:space="preserve">Family </w:t>
      </w:r>
      <w:r w:rsidR="00D07529">
        <w:t>MUAC training was conducted. Annex 2.2 is used to summarise the register on a monthly basis and this should be reported to GOAL. Annex 3 sum</w:t>
      </w:r>
      <w:r w:rsidR="002016C8">
        <w:t>marises annex 1 and 2</w:t>
      </w:r>
      <w:r w:rsidR="00C15266">
        <w:t>,</w:t>
      </w:r>
      <w:r w:rsidR="002016C8">
        <w:t xml:space="preserve"> to provide the required information to report </w:t>
      </w:r>
      <w:r w:rsidR="00F84293">
        <w:t xml:space="preserve">on the </w:t>
      </w:r>
      <w:r w:rsidR="002016C8">
        <w:t>two</w:t>
      </w:r>
      <w:r w:rsidR="00C15266">
        <w:t xml:space="preserve"> </w:t>
      </w:r>
      <w:r w:rsidR="002016C8">
        <w:t>project outcome</w:t>
      </w:r>
      <w:r w:rsidR="00C15266">
        <w:t>s</w:t>
      </w:r>
      <w:r w:rsidR="002016C8">
        <w:t xml:space="preserve"> and three project output indicators. </w:t>
      </w:r>
    </w:p>
    <w:p w14:paraId="7598E648" w14:textId="7167FB37" w:rsidR="00CD326F" w:rsidRDefault="00CD326F" w:rsidP="004032E0">
      <w:pPr>
        <w:jc w:val="both"/>
      </w:pPr>
    </w:p>
    <w:p w14:paraId="3D1D63BE" w14:textId="77777777" w:rsidR="00BF7135" w:rsidRDefault="00BF7135" w:rsidP="004032E0">
      <w:pPr>
        <w:jc w:val="both"/>
      </w:pPr>
    </w:p>
    <w:p w14:paraId="021318E9" w14:textId="77777777" w:rsidR="009B1CAF" w:rsidRDefault="009B1CAF" w:rsidP="00CD326F">
      <w:pPr>
        <w:pStyle w:val="Heading2"/>
        <w:jc w:val="center"/>
        <w:rPr>
          <w:rFonts w:asciiTheme="minorHAnsi" w:hAnsiTheme="minorHAnsi"/>
          <w:color w:val="ED7D31" w:themeColor="accent2"/>
          <w:sz w:val="22"/>
          <w:szCs w:val="22"/>
        </w:rPr>
      </w:pPr>
    </w:p>
    <w:p w14:paraId="67CB226F" w14:textId="2C318048" w:rsidR="00CD326F" w:rsidRPr="00187A1F" w:rsidRDefault="00CD326F" w:rsidP="00CD326F">
      <w:pPr>
        <w:pStyle w:val="Heading2"/>
        <w:jc w:val="center"/>
        <w:rPr>
          <w:rFonts w:asciiTheme="minorHAnsi" w:hAnsiTheme="minorHAnsi"/>
          <w:color w:val="ED7D31" w:themeColor="accent2"/>
          <w:sz w:val="22"/>
          <w:szCs w:val="22"/>
        </w:rPr>
      </w:pPr>
      <w:r>
        <w:rPr>
          <w:rFonts w:asciiTheme="minorHAnsi" w:hAnsiTheme="minorHAnsi"/>
          <w:color w:val="ED7D31" w:themeColor="accent2"/>
          <w:sz w:val="22"/>
          <w:szCs w:val="22"/>
        </w:rPr>
        <w:t>Additional Data collection</w:t>
      </w:r>
      <w:r w:rsidR="000B3430">
        <w:rPr>
          <w:rFonts w:asciiTheme="minorHAnsi" w:hAnsiTheme="minorHAnsi"/>
          <w:color w:val="ED7D31" w:themeColor="accent2"/>
          <w:sz w:val="22"/>
          <w:szCs w:val="22"/>
        </w:rPr>
        <w:t xml:space="preserve"> (optional</w:t>
      </w:r>
      <w:r w:rsidR="00BF7135">
        <w:rPr>
          <w:rFonts w:asciiTheme="minorHAnsi" w:hAnsiTheme="minorHAnsi"/>
          <w:color w:val="ED7D31" w:themeColor="accent2"/>
          <w:sz w:val="22"/>
          <w:szCs w:val="22"/>
        </w:rPr>
        <w:t xml:space="preserve"> but advised</w:t>
      </w:r>
      <w:r w:rsidR="000B3430">
        <w:rPr>
          <w:rFonts w:asciiTheme="minorHAnsi" w:hAnsiTheme="minorHAnsi"/>
          <w:color w:val="ED7D31" w:themeColor="accent2"/>
          <w:sz w:val="22"/>
          <w:szCs w:val="22"/>
        </w:rPr>
        <w:t>)</w:t>
      </w:r>
    </w:p>
    <w:p w14:paraId="76F4D7CF" w14:textId="77777777" w:rsidR="00CD326F" w:rsidRPr="003D75BF" w:rsidRDefault="00CD326F" w:rsidP="00CD326F">
      <w:pPr>
        <w:pStyle w:val="Heading3"/>
        <w:rPr>
          <w:rFonts w:asciiTheme="minorHAnsi" w:hAnsiTheme="minorHAnsi"/>
          <w:color w:val="ED7D31" w:themeColor="accent2"/>
          <w:u w:val="single"/>
        </w:rPr>
      </w:pPr>
      <w:r w:rsidRPr="00187A1F">
        <w:rPr>
          <w:rFonts w:asciiTheme="minorHAnsi" w:hAnsiTheme="minorHAnsi"/>
          <w:color w:val="ED7D31" w:themeColor="accent2"/>
          <w:u w:val="single"/>
        </w:rPr>
        <w:t>Background</w:t>
      </w:r>
    </w:p>
    <w:p w14:paraId="41CAAAC7" w14:textId="7127DA5B" w:rsidR="00BF7135" w:rsidRDefault="00CD326F" w:rsidP="00CD326F">
      <w:pPr>
        <w:jc w:val="both"/>
      </w:pPr>
      <w:r>
        <w:t xml:space="preserve">If you did want to collect some more detailed data on the Family MUAC initiative for various reasons including to </w:t>
      </w:r>
      <w:r w:rsidRPr="00B006A9">
        <w:rPr>
          <w:b/>
          <w:bCs/>
        </w:rPr>
        <w:t>support advocacy for the scale up of this initiative in your country programme</w:t>
      </w:r>
      <w:r>
        <w:t xml:space="preserve"> and its prospective inclusion in national guidelines, in addition to the basic information collected in the Family MUAC toolkit, it is useful for the country team to collect the following additional information:</w:t>
      </w:r>
    </w:p>
    <w:tbl>
      <w:tblPr>
        <w:tblStyle w:val="TableGrid"/>
        <w:tblW w:w="0" w:type="auto"/>
        <w:tblLook w:val="04A0" w:firstRow="1" w:lastRow="0" w:firstColumn="1" w:lastColumn="0" w:noHBand="0" w:noVBand="1"/>
      </w:tblPr>
      <w:tblGrid>
        <w:gridCol w:w="9242"/>
      </w:tblGrid>
      <w:tr w:rsidR="000B3430" w14:paraId="6A9C0C07" w14:textId="77777777" w:rsidTr="00DE1999">
        <w:tc>
          <w:tcPr>
            <w:tcW w:w="9242" w:type="dxa"/>
            <w:shd w:val="clear" w:color="auto" w:fill="D9D9D9" w:themeFill="background1" w:themeFillShade="D9"/>
          </w:tcPr>
          <w:p w14:paraId="7B9E46F9" w14:textId="77777777" w:rsidR="000B3430" w:rsidRDefault="000B3430" w:rsidP="00DE1999">
            <w:r>
              <w:t>Outcome Indicator:</w:t>
            </w:r>
          </w:p>
          <w:p w14:paraId="271C8C92" w14:textId="0A602607" w:rsidR="000B3430" w:rsidRDefault="000B3430" w:rsidP="000B3430">
            <w:pPr>
              <w:pStyle w:val="ListParagraph"/>
              <w:numPr>
                <w:ilvl w:val="0"/>
                <w:numId w:val="5"/>
              </w:numPr>
              <w:contextualSpacing w:val="0"/>
              <w:jc w:val="both"/>
              <w:rPr>
                <w:rFonts w:eastAsia="Times New Roman"/>
              </w:rPr>
            </w:pPr>
            <w:r w:rsidRPr="00B006A9">
              <w:rPr>
                <w:rFonts w:eastAsia="Times New Roman"/>
                <w:b/>
                <w:bCs/>
              </w:rPr>
              <w:t>Comparison of rates of admission</w:t>
            </w:r>
            <w:r>
              <w:rPr>
                <w:rFonts w:eastAsia="Times New Roman"/>
              </w:rPr>
              <w:t xml:space="preserve"> into the CMAM programme </w:t>
            </w:r>
            <w:r w:rsidRPr="001776B8">
              <w:rPr>
                <w:rFonts w:eastAsia="Times New Roman"/>
              </w:rPr>
              <w:t xml:space="preserve">before and after </w:t>
            </w:r>
            <w:r>
              <w:rPr>
                <w:rFonts w:eastAsia="Times New Roman"/>
              </w:rPr>
              <w:t xml:space="preserve">the Family MUAC </w:t>
            </w:r>
            <w:r w:rsidRPr="001776B8">
              <w:rPr>
                <w:rFonts w:eastAsia="Times New Roman"/>
              </w:rPr>
              <w:t>exercis</w:t>
            </w:r>
            <w:r>
              <w:rPr>
                <w:rFonts w:eastAsia="Times New Roman"/>
              </w:rPr>
              <w:t>e</w:t>
            </w:r>
            <w:r>
              <w:rPr>
                <w:rFonts w:eastAsia="Times New Roman"/>
              </w:rPr>
              <w:t>,</w:t>
            </w:r>
            <w:r w:rsidRPr="001776B8">
              <w:rPr>
                <w:rFonts w:eastAsia="Times New Roman"/>
              </w:rPr>
              <w:t xml:space="preserve"> compared to the same time last year</w:t>
            </w:r>
            <w:r>
              <w:rPr>
                <w:rFonts w:eastAsia="Times New Roman"/>
              </w:rPr>
              <w:t xml:space="preserve"> </w:t>
            </w:r>
            <w:r w:rsidRPr="003D75BF">
              <w:rPr>
                <w:rFonts w:eastAsiaTheme="majorEastAsia" w:cstheme="majorBidi"/>
                <w:b/>
                <w:bCs/>
                <w:color w:val="ED7D31" w:themeColor="accent2"/>
              </w:rPr>
              <w:t>(Annex 4</w:t>
            </w:r>
            <w:r>
              <w:rPr>
                <w:rFonts w:eastAsiaTheme="majorEastAsia" w:cstheme="majorBidi"/>
                <w:b/>
                <w:bCs/>
                <w:color w:val="ED7D31" w:themeColor="accent2"/>
              </w:rPr>
              <w:t>.1</w:t>
            </w:r>
            <w:r w:rsidRPr="003D75BF">
              <w:rPr>
                <w:rFonts w:eastAsiaTheme="majorEastAsia" w:cstheme="majorBidi"/>
                <w:b/>
                <w:bCs/>
                <w:color w:val="ED7D31" w:themeColor="accent2"/>
              </w:rPr>
              <w:t>).</w:t>
            </w:r>
          </w:p>
          <w:p w14:paraId="0D498C04" w14:textId="77777777" w:rsidR="000B3430" w:rsidRDefault="000B3430" w:rsidP="000B3430">
            <w:pPr>
              <w:pStyle w:val="ListParagraph"/>
              <w:numPr>
                <w:ilvl w:val="0"/>
                <w:numId w:val="5"/>
              </w:numPr>
              <w:contextualSpacing w:val="0"/>
              <w:jc w:val="both"/>
              <w:rPr>
                <w:rFonts w:eastAsia="Times New Roman"/>
              </w:rPr>
            </w:pPr>
            <w:r w:rsidRPr="00B006A9">
              <w:rPr>
                <w:rFonts w:eastAsia="Times New Roman"/>
                <w:b/>
                <w:bCs/>
              </w:rPr>
              <w:t>Comparison of the impact on the performance of CMAM</w:t>
            </w:r>
            <w:r>
              <w:rPr>
                <w:rFonts w:eastAsia="Times New Roman"/>
              </w:rPr>
              <w:t xml:space="preserve"> programme</w:t>
            </w:r>
            <w:r w:rsidRPr="00DB0D8D">
              <w:rPr>
                <w:rFonts w:eastAsia="Times New Roman"/>
              </w:rPr>
              <w:t xml:space="preserve"> pre/post maternal screening</w:t>
            </w:r>
            <w:r>
              <w:rPr>
                <w:rFonts w:eastAsia="Times New Roman"/>
              </w:rPr>
              <w:t xml:space="preserve"> i.e. collect information before and after Family MUAC roll out on TSFP and/or OTP performance indicators including length of stay, weight gain, cure/death/defaulter rates </w:t>
            </w:r>
            <w:r w:rsidRPr="003D75BF">
              <w:rPr>
                <w:rFonts w:eastAsiaTheme="majorEastAsia" w:cstheme="majorBidi"/>
                <w:b/>
                <w:bCs/>
                <w:color w:val="ED7D31" w:themeColor="accent2"/>
              </w:rPr>
              <w:t>(Annex 4</w:t>
            </w:r>
            <w:r>
              <w:rPr>
                <w:rFonts w:eastAsiaTheme="majorEastAsia" w:cstheme="majorBidi"/>
                <w:b/>
                <w:bCs/>
                <w:color w:val="ED7D31" w:themeColor="accent2"/>
              </w:rPr>
              <w:t>.1)</w:t>
            </w:r>
            <w:r w:rsidRPr="003D75BF">
              <w:rPr>
                <w:rFonts w:eastAsiaTheme="majorEastAsia" w:cstheme="majorBidi"/>
                <w:b/>
                <w:bCs/>
                <w:color w:val="ED7D31" w:themeColor="accent2"/>
              </w:rPr>
              <w:t xml:space="preserve"> </w:t>
            </w:r>
          </w:p>
          <w:p w14:paraId="598D3A29" w14:textId="77777777" w:rsidR="000B3430" w:rsidRDefault="000B3430" w:rsidP="000B3430">
            <w:pPr>
              <w:pStyle w:val="ListParagraph"/>
              <w:numPr>
                <w:ilvl w:val="0"/>
                <w:numId w:val="5"/>
              </w:numPr>
              <w:contextualSpacing w:val="0"/>
              <w:jc w:val="both"/>
              <w:rPr>
                <w:rFonts w:eastAsia="Times New Roman"/>
              </w:rPr>
            </w:pPr>
            <w:r w:rsidRPr="00B006A9">
              <w:rPr>
                <w:rFonts w:eastAsia="Times New Roman"/>
                <w:b/>
                <w:bCs/>
              </w:rPr>
              <w:t>Comparison of ‘coverage’ between the traditional CHWs versus the Family MUAC approach</w:t>
            </w:r>
            <w:r>
              <w:rPr>
                <w:rFonts w:eastAsia="Times New Roman"/>
              </w:rPr>
              <w:t xml:space="preserve">. i.e. how many households the CHWs usually manage to screen versus what we have achieved through the Family MUAC approach during a given period </w:t>
            </w:r>
            <w:r w:rsidRPr="003D75BF">
              <w:rPr>
                <w:rFonts w:eastAsiaTheme="majorEastAsia" w:cstheme="majorBidi"/>
                <w:b/>
                <w:bCs/>
                <w:color w:val="ED7D31" w:themeColor="accent2"/>
              </w:rPr>
              <w:t>(Annex 4</w:t>
            </w:r>
            <w:r>
              <w:rPr>
                <w:rFonts w:eastAsiaTheme="majorEastAsia" w:cstheme="majorBidi"/>
                <w:b/>
                <w:bCs/>
                <w:color w:val="ED7D31" w:themeColor="accent2"/>
              </w:rPr>
              <w:t>.2</w:t>
            </w:r>
            <w:r w:rsidRPr="003D75BF">
              <w:rPr>
                <w:rFonts w:eastAsiaTheme="majorEastAsia" w:cstheme="majorBidi"/>
                <w:b/>
                <w:bCs/>
                <w:color w:val="ED7D31" w:themeColor="accent2"/>
              </w:rPr>
              <w:t>).</w:t>
            </w:r>
          </w:p>
          <w:p w14:paraId="160F78DA" w14:textId="47670308" w:rsidR="000B3430" w:rsidRPr="000B3430" w:rsidRDefault="000B3430" w:rsidP="000B3430">
            <w:pPr>
              <w:pStyle w:val="ListParagraph"/>
              <w:numPr>
                <w:ilvl w:val="0"/>
                <w:numId w:val="5"/>
              </w:numPr>
              <w:contextualSpacing w:val="0"/>
              <w:jc w:val="both"/>
              <w:rPr>
                <w:rFonts w:eastAsia="Times New Roman"/>
              </w:rPr>
            </w:pPr>
            <w:r w:rsidRPr="00B006A9">
              <w:rPr>
                <w:rFonts w:eastAsia="Times New Roman"/>
                <w:b/>
                <w:bCs/>
              </w:rPr>
              <w:t>Comparison of costs</w:t>
            </w:r>
            <w:r>
              <w:rPr>
                <w:rFonts w:eastAsia="Times New Roman"/>
              </w:rPr>
              <w:t xml:space="preserve"> regarding how much it would cost if traditional CHWs were used to screen families versus the Family MUAC approach (looking at a similar level of coverage) </w:t>
            </w:r>
            <w:r w:rsidRPr="003D75BF">
              <w:rPr>
                <w:rFonts w:eastAsiaTheme="majorEastAsia" w:cstheme="majorBidi"/>
                <w:b/>
                <w:bCs/>
                <w:color w:val="ED7D31" w:themeColor="accent2"/>
              </w:rPr>
              <w:t xml:space="preserve">(Annex </w:t>
            </w:r>
            <w:r>
              <w:rPr>
                <w:rFonts w:eastAsiaTheme="majorEastAsia" w:cstheme="majorBidi"/>
                <w:b/>
                <w:bCs/>
                <w:color w:val="ED7D31" w:themeColor="accent2"/>
              </w:rPr>
              <w:t>4.3</w:t>
            </w:r>
            <w:r w:rsidRPr="003D75BF">
              <w:rPr>
                <w:rFonts w:eastAsiaTheme="majorEastAsia" w:cstheme="majorBidi"/>
                <w:b/>
                <w:bCs/>
                <w:color w:val="ED7D31" w:themeColor="accent2"/>
              </w:rPr>
              <w:t>).</w:t>
            </w:r>
          </w:p>
        </w:tc>
      </w:tr>
    </w:tbl>
    <w:p w14:paraId="075895C0" w14:textId="77777777" w:rsidR="00CD326F" w:rsidRPr="00E22E0B" w:rsidRDefault="00CD326F" w:rsidP="00CD326F">
      <w:pPr>
        <w:jc w:val="both"/>
      </w:pPr>
    </w:p>
    <w:p w14:paraId="6C759128" w14:textId="77777777" w:rsidR="00CD326F" w:rsidRPr="00717598" w:rsidRDefault="00CD326F" w:rsidP="00CD326F">
      <w:pPr>
        <w:pStyle w:val="Heading3"/>
        <w:rPr>
          <w:rFonts w:asciiTheme="minorHAnsi" w:hAnsiTheme="minorHAnsi"/>
          <w:color w:val="ED7D31" w:themeColor="accent2"/>
          <w:u w:val="single"/>
        </w:rPr>
      </w:pPr>
      <w:r>
        <w:rPr>
          <w:rFonts w:asciiTheme="minorHAnsi" w:hAnsiTheme="minorHAnsi"/>
          <w:color w:val="ED7D31" w:themeColor="accent2"/>
          <w:u w:val="single"/>
        </w:rPr>
        <w:t>Family MUAC additional monitoring and evaluation toolkit c</w:t>
      </w:r>
      <w:r w:rsidRPr="00717598">
        <w:rPr>
          <w:rFonts w:asciiTheme="minorHAnsi" w:hAnsiTheme="minorHAnsi"/>
          <w:color w:val="ED7D31" w:themeColor="accent2"/>
          <w:u w:val="single"/>
        </w:rPr>
        <w:t xml:space="preserve">ontent </w:t>
      </w:r>
    </w:p>
    <w:p w14:paraId="754EA463" w14:textId="77777777" w:rsidR="00CD326F" w:rsidRDefault="00CD326F" w:rsidP="00CD326F">
      <w:r>
        <w:t xml:space="preserve"> The additional tools include the following: </w:t>
      </w:r>
    </w:p>
    <w:tbl>
      <w:tblPr>
        <w:tblStyle w:val="TableGrid"/>
        <w:tblW w:w="0" w:type="auto"/>
        <w:tblLook w:val="04A0" w:firstRow="1" w:lastRow="0" w:firstColumn="1" w:lastColumn="0" w:noHBand="0" w:noVBand="1"/>
      </w:tblPr>
      <w:tblGrid>
        <w:gridCol w:w="4915"/>
        <w:gridCol w:w="4841"/>
      </w:tblGrid>
      <w:tr w:rsidR="006F5CB0" w14:paraId="1BB58625" w14:textId="3C47FFDF" w:rsidTr="006F5CB0">
        <w:tc>
          <w:tcPr>
            <w:tcW w:w="4915" w:type="dxa"/>
            <w:shd w:val="clear" w:color="auto" w:fill="FFF2CC" w:themeFill="accent4" w:themeFillTint="33"/>
          </w:tcPr>
          <w:p w14:paraId="650569B7" w14:textId="77777777" w:rsidR="006F5CB0" w:rsidRPr="00717598" w:rsidRDefault="006F5CB0" w:rsidP="00DE1999">
            <w:pPr>
              <w:rPr>
                <w:b/>
              </w:rPr>
            </w:pPr>
            <w:r>
              <w:rPr>
                <w:b/>
              </w:rPr>
              <w:t>Annex 4 CMAM performance and coverage</w:t>
            </w:r>
          </w:p>
        </w:tc>
        <w:tc>
          <w:tcPr>
            <w:tcW w:w="4841" w:type="dxa"/>
            <w:vMerge w:val="restart"/>
            <w:shd w:val="clear" w:color="auto" w:fill="F7D5F5"/>
          </w:tcPr>
          <w:p w14:paraId="57FD4B59" w14:textId="77777777" w:rsidR="006F5CB0" w:rsidRDefault="00FC160D" w:rsidP="00DE1999">
            <w:pPr>
              <w:rPr>
                <w:b/>
              </w:rPr>
            </w:pPr>
            <w:r>
              <w:rPr>
                <w:b/>
              </w:rPr>
              <w:t>Family MUAC Summary Database</w:t>
            </w:r>
          </w:p>
          <w:p w14:paraId="312FE06F" w14:textId="4C773942" w:rsidR="00FC160D" w:rsidRPr="00FC160D" w:rsidRDefault="00FC160D" w:rsidP="00DE1999">
            <w:pPr>
              <w:rPr>
                <w:bCs/>
              </w:rPr>
            </w:pPr>
            <w:r>
              <w:rPr>
                <w:bCs/>
              </w:rPr>
              <w:t>This combines the data collated from Annex</w:t>
            </w:r>
            <w:r w:rsidR="00322688">
              <w:rPr>
                <w:bCs/>
              </w:rPr>
              <w:t xml:space="preserve"> 3 &amp; 4 to provide a summary of the </w:t>
            </w:r>
            <w:r w:rsidR="00EE09FA">
              <w:rPr>
                <w:bCs/>
              </w:rPr>
              <w:t>minimum data requirements plus the additional data</w:t>
            </w:r>
            <w:r w:rsidR="008A1616">
              <w:rPr>
                <w:bCs/>
              </w:rPr>
              <w:t xml:space="preserve"> collection</w:t>
            </w:r>
            <w:bookmarkStart w:id="0" w:name="_GoBack"/>
            <w:bookmarkEnd w:id="0"/>
          </w:p>
        </w:tc>
      </w:tr>
      <w:tr w:rsidR="006F5CB0" w14:paraId="6A276F1D" w14:textId="436A0EC9" w:rsidTr="006F5CB0">
        <w:tc>
          <w:tcPr>
            <w:tcW w:w="4915" w:type="dxa"/>
            <w:shd w:val="clear" w:color="auto" w:fill="FFF2CC" w:themeFill="accent4" w:themeFillTint="33"/>
          </w:tcPr>
          <w:p w14:paraId="1DE80C2A" w14:textId="77777777" w:rsidR="006F5CB0" w:rsidRDefault="006F5CB0" w:rsidP="00DE1999">
            <w:r>
              <w:t>Annex 4.1 Comparison of CMAM performance</w:t>
            </w:r>
          </w:p>
        </w:tc>
        <w:tc>
          <w:tcPr>
            <w:tcW w:w="4841" w:type="dxa"/>
            <w:vMerge/>
            <w:shd w:val="clear" w:color="auto" w:fill="F7D5F5"/>
          </w:tcPr>
          <w:p w14:paraId="56C60438" w14:textId="77777777" w:rsidR="006F5CB0" w:rsidRDefault="006F5CB0" w:rsidP="00DE1999"/>
        </w:tc>
      </w:tr>
      <w:tr w:rsidR="006F5CB0" w14:paraId="45CC18BE" w14:textId="7EA6E91A" w:rsidTr="006F5CB0">
        <w:tc>
          <w:tcPr>
            <w:tcW w:w="4915" w:type="dxa"/>
            <w:shd w:val="clear" w:color="auto" w:fill="FFF2CC" w:themeFill="accent4" w:themeFillTint="33"/>
          </w:tcPr>
          <w:p w14:paraId="05DE8CCC" w14:textId="77777777" w:rsidR="006F5CB0" w:rsidRDefault="006F5CB0" w:rsidP="00DE1999">
            <w:pPr>
              <w:tabs>
                <w:tab w:val="left" w:pos="3265"/>
              </w:tabs>
            </w:pPr>
            <w:r>
              <w:t>Annex 4.2 Family MUAC versus CHWs coverage</w:t>
            </w:r>
          </w:p>
        </w:tc>
        <w:tc>
          <w:tcPr>
            <w:tcW w:w="4841" w:type="dxa"/>
            <w:vMerge/>
            <w:shd w:val="clear" w:color="auto" w:fill="F7D5F5"/>
          </w:tcPr>
          <w:p w14:paraId="64497DE8" w14:textId="77777777" w:rsidR="006F5CB0" w:rsidRDefault="006F5CB0" w:rsidP="00DE1999">
            <w:pPr>
              <w:tabs>
                <w:tab w:val="left" w:pos="3265"/>
              </w:tabs>
            </w:pPr>
          </w:p>
        </w:tc>
      </w:tr>
      <w:tr w:rsidR="006F5CB0" w14:paraId="005BDA8E" w14:textId="0C59C844" w:rsidTr="006F5CB0">
        <w:tc>
          <w:tcPr>
            <w:tcW w:w="4915" w:type="dxa"/>
            <w:shd w:val="clear" w:color="auto" w:fill="FFF2CC" w:themeFill="accent4" w:themeFillTint="33"/>
          </w:tcPr>
          <w:p w14:paraId="41DE186D" w14:textId="77777777" w:rsidR="006F5CB0" w:rsidRDefault="006F5CB0" w:rsidP="00DE1999">
            <w:pPr>
              <w:tabs>
                <w:tab w:val="left" w:pos="3265"/>
              </w:tabs>
            </w:pPr>
            <w:r>
              <w:t>Annex 4.3 Cost Comparison Family MUAC versus CHW</w:t>
            </w:r>
          </w:p>
        </w:tc>
        <w:tc>
          <w:tcPr>
            <w:tcW w:w="4841" w:type="dxa"/>
            <w:vMerge/>
            <w:shd w:val="clear" w:color="auto" w:fill="F7D5F5"/>
          </w:tcPr>
          <w:p w14:paraId="6B6495B1" w14:textId="77777777" w:rsidR="006F5CB0" w:rsidRDefault="006F5CB0" w:rsidP="00DE1999">
            <w:pPr>
              <w:tabs>
                <w:tab w:val="left" w:pos="3265"/>
              </w:tabs>
            </w:pPr>
          </w:p>
        </w:tc>
      </w:tr>
    </w:tbl>
    <w:p w14:paraId="5EDC1B9A" w14:textId="77777777" w:rsidR="00CD326F" w:rsidRPr="002A1C1C" w:rsidRDefault="00CD326F" w:rsidP="00CD326F"/>
    <w:p w14:paraId="3D1BCE9F" w14:textId="77777777" w:rsidR="00CD326F" w:rsidRDefault="00CD326F" w:rsidP="00CD326F">
      <w:pPr>
        <w:jc w:val="both"/>
      </w:pPr>
      <w:r>
        <w:t>Annex 4 will be populated using CMAM monthly reports and cost analysis will be done using data extracted from project financial reports.</w:t>
      </w:r>
    </w:p>
    <w:p w14:paraId="4AD4FBC2" w14:textId="77777777" w:rsidR="00CD326F" w:rsidRDefault="00CD326F" w:rsidP="004032E0">
      <w:pPr>
        <w:jc w:val="both"/>
      </w:pPr>
    </w:p>
    <w:p w14:paraId="7DFE614F" w14:textId="77777777" w:rsidR="002016C8" w:rsidRDefault="002016C8" w:rsidP="002016C8">
      <w:pPr>
        <w:pStyle w:val="Heading3"/>
        <w:rPr>
          <w:rFonts w:asciiTheme="minorHAnsi" w:hAnsiTheme="minorHAnsi"/>
          <w:color w:val="ED7D31" w:themeColor="accent2"/>
          <w:u w:val="single"/>
        </w:rPr>
      </w:pPr>
      <w:r w:rsidRPr="002016C8">
        <w:rPr>
          <w:rFonts w:asciiTheme="minorHAnsi" w:hAnsiTheme="minorHAnsi"/>
          <w:color w:val="ED7D31" w:themeColor="accent2"/>
          <w:u w:val="single"/>
        </w:rPr>
        <w:t>Technical Support</w:t>
      </w:r>
    </w:p>
    <w:p w14:paraId="22E80AC3" w14:textId="77777777" w:rsidR="002016C8" w:rsidRPr="002016C8" w:rsidRDefault="002016C8" w:rsidP="002016C8">
      <w:r>
        <w:t xml:space="preserve">For additional technical support contact </w:t>
      </w:r>
      <w:hyperlink r:id="rId13" w:history="1">
        <w:r w:rsidRPr="00B04389">
          <w:rPr>
            <w:rStyle w:val="Hyperlink"/>
          </w:rPr>
          <w:t>hbarthorp@goal.ie</w:t>
        </w:r>
      </w:hyperlink>
      <w:r>
        <w:t xml:space="preserve">. </w:t>
      </w:r>
    </w:p>
    <w:sectPr w:rsidR="002016C8" w:rsidRPr="002016C8" w:rsidSect="00EB2824">
      <w:headerReference w:type="default" r:id="rId14"/>
      <w:footerReference w:type="default" r:id="rId15"/>
      <w:pgSz w:w="11906" w:h="16838"/>
      <w:pgMar w:top="1440" w:right="926" w:bottom="1080" w:left="1440" w:header="708"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05559" w14:textId="77777777" w:rsidR="00ED313D" w:rsidRDefault="00ED313D" w:rsidP="00D85A30">
      <w:pPr>
        <w:spacing w:after="0" w:line="240" w:lineRule="auto"/>
      </w:pPr>
      <w:r>
        <w:separator/>
      </w:r>
    </w:p>
  </w:endnote>
  <w:endnote w:type="continuationSeparator" w:id="0">
    <w:p w14:paraId="347C313A" w14:textId="77777777" w:rsidR="00ED313D" w:rsidRDefault="00ED313D" w:rsidP="00D85A30">
      <w:pPr>
        <w:spacing w:after="0" w:line="240" w:lineRule="auto"/>
      </w:pPr>
      <w:r>
        <w:continuationSeparator/>
      </w:r>
    </w:p>
  </w:endnote>
  <w:endnote w:type="continuationNotice" w:id="1">
    <w:p w14:paraId="0D458460" w14:textId="77777777" w:rsidR="00811106" w:rsidRDefault="00811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rpwAdvTTb5929f4c">
    <w:panose1 w:val="00000000000000000000"/>
    <w:charset w:val="00"/>
    <w:family w:val="swiss"/>
    <w:notTrueType/>
    <w:pitch w:val="default"/>
    <w:sig w:usb0="00000003" w:usb1="00000000" w:usb2="00000000" w:usb3="00000000" w:csb0="00000001" w:csb1="00000000"/>
  </w:font>
  <w:font w:name="MyriadPro-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662704"/>
      <w:docPartObj>
        <w:docPartGallery w:val="Page Numbers (Bottom of Page)"/>
        <w:docPartUnique/>
      </w:docPartObj>
    </w:sdtPr>
    <w:sdtEndPr>
      <w:rPr>
        <w:noProof/>
      </w:rPr>
    </w:sdtEndPr>
    <w:sdtContent>
      <w:p w14:paraId="640326A5" w14:textId="41940B86" w:rsidR="00EB2824" w:rsidRDefault="00EB28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407F96" w14:textId="77777777" w:rsidR="00EB2824" w:rsidRDefault="00EB2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A5F9A" w14:textId="77777777" w:rsidR="00ED313D" w:rsidRDefault="00ED313D" w:rsidP="00D85A30">
      <w:pPr>
        <w:spacing w:after="0" w:line="240" w:lineRule="auto"/>
      </w:pPr>
      <w:r>
        <w:separator/>
      </w:r>
    </w:p>
  </w:footnote>
  <w:footnote w:type="continuationSeparator" w:id="0">
    <w:p w14:paraId="645833B7" w14:textId="77777777" w:rsidR="00ED313D" w:rsidRDefault="00ED313D" w:rsidP="00D85A30">
      <w:pPr>
        <w:spacing w:after="0" w:line="240" w:lineRule="auto"/>
      </w:pPr>
      <w:r>
        <w:continuationSeparator/>
      </w:r>
    </w:p>
  </w:footnote>
  <w:footnote w:type="continuationNotice" w:id="1">
    <w:p w14:paraId="3DD661B3" w14:textId="77777777" w:rsidR="00811106" w:rsidRDefault="00811106">
      <w:pPr>
        <w:spacing w:after="0" w:line="240" w:lineRule="auto"/>
      </w:pPr>
    </w:p>
  </w:footnote>
  <w:footnote w:id="2">
    <w:p w14:paraId="527A0DDC" w14:textId="77777777" w:rsidR="00187A1F" w:rsidRDefault="00187A1F" w:rsidP="00187A1F">
      <w:pPr>
        <w:pStyle w:val="FootnoteText"/>
      </w:pPr>
      <w:r>
        <w:rPr>
          <w:rStyle w:val="FootnoteReference"/>
        </w:rPr>
        <w:footnoteRef/>
      </w:r>
      <w:r>
        <w:t xml:space="preserve"> Ale et al. Mothers screening for malnutrition by mid-upper arm circumference is non</w:t>
      </w:r>
      <w:r w:rsidR="002A1C1C">
        <w:t>-</w:t>
      </w:r>
      <w:r>
        <w:t>inferior to community health workers: results from a large-scale pragmatic trial in rural Niger</w:t>
      </w:r>
      <w:r w:rsidR="005D286B">
        <w:t xml:space="preserve"> </w:t>
      </w:r>
      <w:r>
        <w:t xml:space="preserve">(2016). </w:t>
      </w:r>
      <w:r w:rsidR="002A1C1C" w:rsidRPr="00187A1F">
        <w:t>4:38.</w:t>
      </w:r>
      <w:r w:rsidR="002A1C1C">
        <w:rPr>
          <w:rFonts w:ascii="MyriadPro-Regular" w:hAnsi="MyriadPro-Regular" w:cs="MyriadPro-Regular"/>
          <w:sz w:val="16"/>
          <w:szCs w:val="16"/>
        </w:rPr>
        <w:t xml:space="preserve">; </w:t>
      </w:r>
      <w:r>
        <w:t xml:space="preserve">Archives </w:t>
      </w:r>
      <w:r w:rsidR="002A1C1C">
        <w:t xml:space="preserve">of Public Health.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C446" w14:textId="77777777" w:rsidR="00D85A30" w:rsidRDefault="00D85A30">
    <w:pPr>
      <w:pStyle w:val="Header"/>
    </w:pPr>
    <w:r w:rsidRPr="007F0379">
      <w:rPr>
        <w:noProof/>
        <w:lang w:eastAsia="en-GB"/>
      </w:rPr>
      <w:drawing>
        <wp:anchor distT="0" distB="0" distL="114300" distR="114300" simplePos="0" relativeHeight="251659264" behindDoc="0" locked="0" layoutInCell="1" allowOverlap="1" wp14:anchorId="2115D53F" wp14:editId="5DA291CD">
          <wp:simplePos x="0" y="0"/>
          <wp:positionH relativeFrom="column">
            <wp:posOffset>-519430</wp:posOffset>
          </wp:positionH>
          <wp:positionV relativeFrom="paragraph">
            <wp:posOffset>-240192</wp:posOffset>
          </wp:positionV>
          <wp:extent cx="1565584" cy="601345"/>
          <wp:effectExtent l="0" t="0" r="0"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5584" cy="601345"/>
                  </a:xfrm>
                  <a:prstGeom prst="rect">
                    <a:avLst/>
                  </a:prstGeom>
                </pic:spPr>
              </pic:pic>
            </a:graphicData>
          </a:graphic>
          <wp14:sizeRelH relativeFrom="margin">
            <wp14:pctWidth>0</wp14:pctWidth>
          </wp14:sizeRelH>
          <wp14:sizeRelV relativeFrom="margin">
            <wp14:pctHeight>0</wp14:pctHeight>
          </wp14:sizeRelV>
        </wp:anchor>
      </w:drawing>
    </w:r>
    <w:r w:rsidRPr="007F0379">
      <w:rPr>
        <w:noProof/>
        <w:lang w:eastAsia="en-GB"/>
      </w:rPr>
      <mc:AlternateContent>
        <mc:Choice Requires="wps">
          <w:drawing>
            <wp:anchor distT="0" distB="0" distL="114300" distR="114300" simplePos="0" relativeHeight="251656192" behindDoc="0" locked="0" layoutInCell="1" allowOverlap="1" wp14:anchorId="29F095BF" wp14:editId="0DAD8014">
              <wp:simplePos x="0" y="0"/>
              <wp:positionH relativeFrom="column">
                <wp:posOffset>-1085850</wp:posOffset>
              </wp:positionH>
              <wp:positionV relativeFrom="paragraph">
                <wp:posOffset>-504057</wp:posOffset>
              </wp:positionV>
              <wp:extent cx="9143999" cy="878088"/>
              <wp:effectExtent l="0" t="0" r="635" b="0"/>
              <wp:wrapNone/>
              <wp:docPr id="27" name="Rectangle 5"/>
              <wp:cNvGraphicFramePr/>
              <a:graphic xmlns:a="http://schemas.openxmlformats.org/drawingml/2006/main">
                <a:graphicData uri="http://schemas.microsoft.com/office/word/2010/wordprocessingShape">
                  <wps:wsp>
                    <wps:cNvSpPr/>
                    <wps:spPr>
                      <a:xfrm>
                        <a:off x="0" y="0"/>
                        <a:ext cx="9143999" cy="878088"/>
                      </a:xfrm>
                      <a:prstGeom prst="rect">
                        <a:avLst/>
                      </a:prstGeom>
                      <a:solidFill>
                        <a:srgbClr val="A6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3E74833" id="Rectangle 5" o:spid="_x0000_s1026" style="position:absolute;margin-left:-85.5pt;margin-top:-39.7pt;width:10in;height:69.1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" fillcolor="#a6ce38"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5148"/>
    <w:multiLevelType w:val="hybridMultilevel"/>
    <w:tmpl w:val="1FCC4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62D8A"/>
    <w:multiLevelType w:val="hybridMultilevel"/>
    <w:tmpl w:val="FF40D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190AFE"/>
    <w:multiLevelType w:val="hybridMultilevel"/>
    <w:tmpl w:val="FF40D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2E1D88"/>
    <w:multiLevelType w:val="hybridMultilevel"/>
    <w:tmpl w:val="5DDE85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91554E"/>
    <w:multiLevelType w:val="hybridMultilevel"/>
    <w:tmpl w:val="A49CA568"/>
    <w:lvl w:ilvl="0" w:tplc="0809000F">
      <w:start w:val="1"/>
      <w:numFmt w:val="decimal"/>
      <w:lvlText w:val="%1."/>
      <w:lvlJc w:val="left"/>
      <w:pPr>
        <w:ind w:left="770" w:hanging="360"/>
      </w:pPr>
    </w:lvl>
    <w:lvl w:ilvl="1" w:tplc="08090019">
      <w:start w:val="1"/>
      <w:numFmt w:val="lowerLetter"/>
      <w:lvlText w:val="%2."/>
      <w:lvlJc w:val="left"/>
      <w:pPr>
        <w:ind w:left="1490" w:hanging="360"/>
      </w:pPr>
    </w:lvl>
    <w:lvl w:ilvl="2" w:tplc="0809001B">
      <w:start w:val="1"/>
      <w:numFmt w:val="lowerRoman"/>
      <w:lvlText w:val="%3."/>
      <w:lvlJc w:val="right"/>
      <w:pPr>
        <w:ind w:left="2210" w:hanging="180"/>
      </w:pPr>
    </w:lvl>
    <w:lvl w:ilvl="3" w:tplc="0809000F">
      <w:start w:val="1"/>
      <w:numFmt w:val="decimal"/>
      <w:lvlText w:val="%4."/>
      <w:lvlJc w:val="left"/>
      <w:pPr>
        <w:ind w:left="2930" w:hanging="360"/>
      </w:pPr>
    </w:lvl>
    <w:lvl w:ilvl="4" w:tplc="08090019">
      <w:start w:val="1"/>
      <w:numFmt w:val="lowerLetter"/>
      <w:lvlText w:val="%5."/>
      <w:lvlJc w:val="left"/>
      <w:pPr>
        <w:ind w:left="3650" w:hanging="360"/>
      </w:pPr>
    </w:lvl>
    <w:lvl w:ilvl="5" w:tplc="0809001B">
      <w:start w:val="1"/>
      <w:numFmt w:val="lowerRoman"/>
      <w:lvlText w:val="%6."/>
      <w:lvlJc w:val="right"/>
      <w:pPr>
        <w:ind w:left="4370" w:hanging="180"/>
      </w:pPr>
    </w:lvl>
    <w:lvl w:ilvl="6" w:tplc="0809000F">
      <w:start w:val="1"/>
      <w:numFmt w:val="decimal"/>
      <w:lvlText w:val="%7."/>
      <w:lvlJc w:val="left"/>
      <w:pPr>
        <w:ind w:left="5090" w:hanging="360"/>
      </w:pPr>
    </w:lvl>
    <w:lvl w:ilvl="7" w:tplc="08090019">
      <w:start w:val="1"/>
      <w:numFmt w:val="lowerLetter"/>
      <w:lvlText w:val="%8."/>
      <w:lvlJc w:val="left"/>
      <w:pPr>
        <w:ind w:left="5810" w:hanging="360"/>
      </w:pPr>
    </w:lvl>
    <w:lvl w:ilvl="8" w:tplc="0809001B">
      <w:start w:val="1"/>
      <w:numFmt w:val="lowerRoman"/>
      <w:lvlText w:val="%9."/>
      <w:lvlJc w:val="right"/>
      <w:pPr>
        <w:ind w:left="6530" w:hanging="180"/>
      </w:pPr>
    </w:lvl>
  </w:abstractNum>
  <w:num w:numId="1">
    <w:abstractNumId w:val="1"/>
  </w:num>
  <w:num w:numId="2">
    <w:abstractNumId w:val="3"/>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A30"/>
    <w:rsid w:val="000B3430"/>
    <w:rsid w:val="000F3A78"/>
    <w:rsid w:val="00144564"/>
    <w:rsid w:val="00146B09"/>
    <w:rsid w:val="0015328A"/>
    <w:rsid w:val="00187A1F"/>
    <w:rsid w:val="002016C8"/>
    <w:rsid w:val="00216FEA"/>
    <w:rsid w:val="002A1C1C"/>
    <w:rsid w:val="00303380"/>
    <w:rsid w:val="00322688"/>
    <w:rsid w:val="003A5CD2"/>
    <w:rsid w:val="003B3F89"/>
    <w:rsid w:val="003C2F7B"/>
    <w:rsid w:val="004032E0"/>
    <w:rsid w:val="00432B54"/>
    <w:rsid w:val="00483C95"/>
    <w:rsid w:val="004E7EEA"/>
    <w:rsid w:val="0058628A"/>
    <w:rsid w:val="00595EFF"/>
    <w:rsid w:val="005D286B"/>
    <w:rsid w:val="00631284"/>
    <w:rsid w:val="006F5CB0"/>
    <w:rsid w:val="00717598"/>
    <w:rsid w:val="007D42EF"/>
    <w:rsid w:val="007E0830"/>
    <w:rsid w:val="00811106"/>
    <w:rsid w:val="00845FD4"/>
    <w:rsid w:val="008A1616"/>
    <w:rsid w:val="009B1CAF"/>
    <w:rsid w:val="00A54A2C"/>
    <w:rsid w:val="00A56AA8"/>
    <w:rsid w:val="00BF7135"/>
    <w:rsid w:val="00C13585"/>
    <w:rsid w:val="00C15266"/>
    <w:rsid w:val="00CD326F"/>
    <w:rsid w:val="00D035FA"/>
    <w:rsid w:val="00D07529"/>
    <w:rsid w:val="00D8086A"/>
    <w:rsid w:val="00D85A30"/>
    <w:rsid w:val="00E22E0B"/>
    <w:rsid w:val="00E56208"/>
    <w:rsid w:val="00EA72B6"/>
    <w:rsid w:val="00EB2824"/>
    <w:rsid w:val="00ED313D"/>
    <w:rsid w:val="00EE09FA"/>
    <w:rsid w:val="00F20CD0"/>
    <w:rsid w:val="00F62242"/>
    <w:rsid w:val="00F84293"/>
    <w:rsid w:val="00FC160D"/>
    <w:rsid w:val="00FF5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1892"/>
  <w15:docId w15:val="{3B63C1C2-F2EB-45CC-9010-4FDF8097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85A3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D85A30"/>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A30"/>
  </w:style>
  <w:style w:type="paragraph" w:styleId="Footer">
    <w:name w:val="footer"/>
    <w:basedOn w:val="Normal"/>
    <w:link w:val="FooterChar"/>
    <w:uiPriority w:val="99"/>
    <w:unhideWhenUsed/>
    <w:rsid w:val="00D85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A30"/>
  </w:style>
  <w:style w:type="character" w:customStyle="1" w:styleId="Heading2Char">
    <w:name w:val="Heading 2 Char"/>
    <w:basedOn w:val="DefaultParagraphFont"/>
    <w:link w:val="Heading2"/>
    <w:uiPriority w:val="9"/>
    <w:rsid w:val="00D85A3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D85A30"/>
    <w:rPr>
      <w:rFonts w:asciiTheme="majorHAnsi" w:eastAsiaTheme="majorEastAsia" w:hAnsiTheme="majorHAnsi" w:cstheme="majorBidi"/>
      <w:b/>
      <w:bCs/>
      <w:color w:val="4472C4" w:themeColor="accent1"/>
    </w:rPr>
  </w:style>
  <w:style w:type="character" w:styleId="Hyperlink">
    <w:name w:val="Hyperlink"/>
    <w:basedOn w:val="DefaultParagraphFont"/>
    <w:uiPriority w:val="99"/>
    <w:unhideWhenUsed/>
    <w:rsid w:val="00187A1F"/>
    <w:rPr>
      <w:color w:val="0000FF"/>
      <w:u w:val="single"/>
    </w:rPr>
  </w:style>
  <w:style w:type="paragraph" w:styleId="FootnoteText">
    <w:name w:val="footnote text"/>
    <w:basedOn w:val="Normal"/>
    <w:link w:val="FootnoteTextChar"/>
    <w:uiPriority w:val="99"/>
    <w:semiHidden/>
    <w:unhideWhenUsed/>
    <w:rsid w:val="00187A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A1F"/>
    <w:rPr>
      <w:sz w:val="20"/>
      <w:szCs w:val="20"/>
    </w:rPr>
  </w:style>
  <w:style w:type="character" w:styleId="FootnoteReference">
    <w:name w:val="footnote reference"/>
    <w:basedOn w:val="DefaultParagraphFont"/>
    <w:uiPriority w:val="99"/>
    <w:semiHidden/>
    <w:unhideWhenUsed/>
    <w:rsid w:val="00187A1F"/>
    <w:rPr>
      <w:vertAlign w:val="superscript"/>
    </w:rPr>
  </w:style>
  <w:style w:type="table" w:styleId="TableGrid">
    <w:name w:val="Table Grid"/>
    <w:basedOn w:val="TableNormal"/>
    <w:uiPriority w:val="39"/>
    <w:rsid w:val="00717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628A"/>
    <w:pPr>
      <w:ind w:left="720"/>
      <w:contextualSpacing/>
    </w:pPr>
  </w:style>
  <w:style w:type="character" w:styleId="UnresolvedMention">
    <w:name w:val="Unresolved Mention"/>
    <w:basedOn w:val="DefaultParagraphFont"/>
    <w:uiPriority w:val="99"/>
    <w:semiHidden/>
    <w:unhideWhenUsed/>
    <w:rsid w:val="00F62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barthorp@goal.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V2bIYUjtq3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time_continue=72&amp;v=V2bDNKjQXs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7956E19E1164DBBFD7519FCA2A2FF" ma:contentTypeVersion="4" ma:contentTypeDescription="Create a new document." ma:contentTypeScope="" ma:versionID="6f369c737eac5f0f4444ca16be71eea9">
  <xsd:schema xmlns:xsd="http://www.w3.org/2001/XMLSchema" xmlns:xs="http://www.w3.org/2001/XMLSchema" xmlns:p="http://schemas.microsoft.com/office/2006/metadata/properties" xmlns:ns2="2b25d704-ef8b-4958-9e9c-58fa6e97cd75" targetNamespace="http://schemas.microsoft.com/office/2006/metadata/properties" ma:root="true" ma:fieldsID="79b0d90a6af8df115b231c4de1fb08b7" ns2:_="">
    <xsd:import namespace="2b25d704-ef8b-4958-9e9c-58fa6e97cd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5d704-ef8b-4958-9e9c-58fa6e97c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40077-A5D9-4F88-9A2B-829594D19AE4}">
  <ds:schemaRefs>
    <ds:schemaRef ds:uri="http://schemas.microsoft.com/sharepoint/v3/contenttype/forms"/>
  </ds:schemaRefs>
</ds:datastoreItem>
</file>

<file path=customXml/itemProps2.xml><?xml version="1.0" encoding="utf-8"?>
<ds:datastoreItem xmlns:ds="http://schemas.openxmlformats.org/officeDocument/2006/customXml" ds:itemID="{34BEC43C-87BE-464B-A1E0-B51C23A883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77F915-9E49-45DC-BD38-5424C476AF13}"/>
</file>

<file path=customXml/itemProps4.xml><?xml version="1.0" encoding="utf-8"?>
<ds:datastoreItem xmlns:ds="http://schemas.openxmlformats.org/officeDocument/2006/customXml" ds:itemID="{224AA346-D98B-4E54-BC83-CF1BC1AE1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Sinead O'Mahony</dc:creator>
  <cp:lastModifiedBy>Hatty Barthorp</cp:lastModifiedBy>
  <cp:revision>36</cp:revision>
  <dcterms:created xsi:type="dcterms:W3CDTF">2017-09-01T11:04:00Z</dcterms:created>
  <dcterms:modified xsi:type="dcterms:W3CDTF">2020-02-06T16:49:00Z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0x0101005037956E19E1164DBBFD7519FCA2A2FF</vt:lpwstr>
  </property>
</Properties>
</file>